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your model — Zev-7S, Zev-7M (Mini), Zev-7-18, Zev-7RZ, Zev-7NS or Zev-7ND (numitron), or Metronome.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present the same web interface and rule-based scheduling, each running its own firmware. They display hours, minutes, seconds, and tenths of a second using Nixie tubes with HV5530 shift-register drivers. The Zev-7S can be built with any of several tube types; the other models each use one. The clocks feature RGB backlighting behind the tubes, neon colon indicators, WiFi connectivity with NTP time sync, an optional motion sensor, an optional light sensor, an optional weather sensor, and an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runs a third. All are operationally similar, differing where the display hardware and its capabilities differ.</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one under-tube LED per display, plus a separate under-board light string) and Zev-7ND (DTF-104B tubes, two under-tube LEDs per display, no under-board string — the Under Lighting settings are hidden on that model). In AP mode they appear as the WiFi networks Zev-7NS and Zev-7ND, and are reachable by name at zev-7ns.local and zev-7nd.local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your model — Zev-7S, Zev-7M, Zev-7-18, Zev-7RZ, Zev-7NS, Zev-7ND or Metronome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nb=0, lb=0, ub=0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an nb value in another rule,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 one per tube, or two per tube on the Zev-7-18 and Zev-7RZ; the Metronome has 15 RGB LEDs (one per tube). Every model except the Zev-7ND also has separate under-light LEDs along the front edge of the base.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an nb value in any rule,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19-</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2.3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2.3 — September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