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pBdr>
          <w:bottom w:val="single" w:sz="18" w:space="1" w:color="000000"/>
        </w:pBdr>
        <w:spacing w:before="0" w:after="0"/>
        <w:rPr/>
      </w:pPr>
      <w:r>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
    </w:p>
    <w:p>
      <w:pPr>
        <w:pStyle w:val="Normal"/>
        <w:spacing w:before="720" w:after="480"/>
        <w:jc w:val="start"/>
        <w:rPr/>
      </w:pPr>
      <w:r>
        <w:rPr>
          <w:rFonts w:ascii="Arial" w:hAnsi="Arial"/>
          <w:b/>
          <w:i w:val="false"/>
          <w:color w:val="000000"/>
          <w:sz w:val="24"/>
        </w:rPr>
        <w:t>July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 Zev-7N Mini). Throughout this manual all models are referred to as Zev-7, and "Nixie" refers to the time display in general; see Section 2 for how the Zev-7N numitron models differ.</w:t>
      </w:r>
    </w:p>
    <w:tbl>
      <w:tblPr>
        <w:tblW w:w="8064"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3744"/>
        <w:gridCol w:w="4320"/>
      </w:tblGrid>
      <w:tr>
        <w:trPr/>
        <w:tc>
          <w:tcPr>
            <w:tcW w:w="3744" w:type="dxa"/>
            <w:tcBorders/>
          </w:tcPr>
          <w:p>
            <w:pPr>
              <w:pStyle w:val="Normal"/>
              <w:widowControl/>
              <w:bidi w:val="0"/>
              <w:spacing w:lineRule="auto" w:line="276" w:before="0" w:after="80"/>
              <w:jc w:val="start"/>
              <w:rPr/>
            </w:pPr>
            <w:r>
              <w:rPr>
                <w:rFonts w:ascii="Arial" w:hAnsi="Arial"/>
                <w:b/>
                <w:sz w:val="22"/>
              </w:rPr>
              <w:t>Revision/Update Information:</w:t>
            </w:r>
          </w:p>
        </w:tc>
        <w:tc>
          <w:tcPr>
            <w:tcW w:w="4320" w:type="dxa"/>
            <w:tcBorders/>
          </w:tcPr>
          <w:p>
            <w:r>
              <w:t>V4 — adds the dark rule keyword (rules that apply only while the room is dark). V3 — adds Tube Healing (cathode recovery), day-of-week rule filters, and off accepted as a value. (V2 replaced Period Overrides with the Rules system and added Zev-7N numitron variants.)</w:t>
            </w:r>
          </w:p>
        </w:tc>
      </w:tr>
      <w:tr>
        <w:trPr/>
        <w:tc>
          <w:tcPr>
            <w:tcW w:w="3744" w:type="dxa"/>
            <w:tcBorders/>
          </w:tcPr>
          <w:p>
            <w:pPr>
              <w:pStyle w:val="Normal"/>
              <w:widowControl/>
              <w:bidi w:val="0"/>
              <w:spacing w:lineRule="auto" w:line="276" w:before="0" w:after="80"/>
              <w:jc w:val="start"/>
              <w:rPr/>
            </w:pPr>
            <w:r>
              <w:rPr>
                <w:rFonts w:ascii="Arial" w:hAnsi="Arial"/>
                <w:b/>
                <w:sz w:val="22"/>
              </w:rPr>
              <w:t>Clock Firmware:</w:t>
            </w:r>
          </w:p>
        </w:tc>
        <w:tc>
          <w:tcPr>
            <w:tcW w:w="4320" w:type="dxa"/>
            <w:tcBorders/>
          </w:tcPr>
          <w:p>
            <w:r>
              <w:t>V4</w:t>
            </w:r>
          </w:p>
        </w:tc>
      </w:tr>
    </w:tbl>
    <w:p>
      <w:pPr>
        <w:pStyle w:val="Normal"/>
        <w:spacing w:before="2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
    </w:p>
    <w:p>
      <w:pPr>
        <w:pStyle w:val="Normal"/>
        <w:spacing w:before="0" w:after="80"/>
        <w:rPr/>
      </w:pPr>
      <w:r>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Troubleshooting</w:t>
        <w:tab/>
        <w:t>18-1</w:t>
      </w:r>
      <w:r>
        <w:rPr>
          <w:rFonts w:ascii="Arial" w:hAnsi="Arial"/>
          <w:sz w:val="22"/>
        </w:rPr>
      </w:r>
      <w:r>
        <w:rPr>
          <w:rFonts w:ascii="Arial" w:hAnsi="Arial"/>
          <w:color w:val="000000"/>
          <w:sz w:val="22"/>
        </w:rPr>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color w:val="C25600"/>
        </w:rPr>
        <w:t xml:space="preserve"> </w:t>
      </w:r>
      <w:r>
        <w:rPr>
          <w:rFonts w:ascii="Arial" w:hAnsi="Arial"/>
          <w:b w:val="false"/>
          <w:bCs w:val="false"/>
          <w:color w:val="000000"/>
          <w:sz w:val="26"/>
        </w:rPr>
        <w:t xml:space="preserve">If </w:t>
      </w:r>
      <w:r>
        <w:rPr>
          <w:rFonts w:ascii="Arial" w:hAnsi="Arial"/>
          <w:b w:val="false"/>
          <w:bCs w:val="false"/>
          <w:i w:val="false"/>
          <w:iCs w:val="false"/>
          <w:color w:val="000000"/>
          <w:sz w:val="26"/>
        </w:rPr>
        <w:t>the</w:t>
      </w:r>
      <w:r>
        <w:rPr>
          <w:rFonts w:ascii="Arial" w:hAnsi="Arial"/>
          <w:b w:val="false"/>
          <w:bCs w:val="false"/>
          <w:color w:val="000000"/>
          <w:sz w:val="26"/>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
    </w:p>
    <w:p>
      <w:pPr>
        <w:pStyle w:val="Normal"/>
        <w:spacing w:before="0" w:after="80"/>
        <w:rPr/>
      </w:pPr>
      <w:r>
        <w:rPr/>
      </w:r>
    </w:p>
    <w:p>
      <w:pPr/>
      <w:r>
        <w:t>The Zev-7N is a numitron-tube variant of the Zev-7. It is functionally identical to the Zev-7 and runs the same firmware, but its seven displays are DR2010 numitron filament tubes driven by TLC59116 constant-current drivers rather than high-voltage Nixie tubes. Because numitron filaments do not suffer cathode poisoning, the Zev-7N has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and (Zev-7 only) an optional weather sensor and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0"/>
          <w:headerReference w:type="default" r:id="rId21"/>
          <w:headerReference w:type="first" r:id="rId22"/>
          <w:footerReference w:type="even" r:id="rId23"/>
          <w:footerReference w:type="default" r:id="rId24"/>
          <w:footerReference w:type="first" r:id="rId2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Several model variants share this firmware. The model is set at the factory and cannot be changed by the user. The Zev-7 and Zev-7 Mini are Nixie-tube clocks; the Zev-7N and Zev-7N Mini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 RGB LEDs (color and brightness configurable)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Zev-7M</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None</w:t>
            </w:r>
          </w:p>
        </w:tc>
      </w:tr>
      <w:tr>
        <w:tc>
          <w:tcPr>
            <w:tcW w:type="dxa" w:w="3135"/>
          </w:tcPr>
          <w:p>
            <w:r>
              <w:t>Zev-7N (numitron)</w:t>
            </w:r>
          </w:p>
        </w:tc>
        <w:tc>
          <w:tcPr>
            <w:tcW w:type="dxa" w:w="3135"/>
          </w:tcPr>
          <w:p>
            <w:r>
              <w:t>Zev-7N</w:t>
            </w:r>
          </w:p>
        </w:tc>
        <w:tc>
          <w:tcPr>
            <w:tcW w:type="dxa" w:w="3135"/>
          </w:tcPr>
          <w:p>
            <w:r>
              <w:t>4–20 RGB LEDs (color, brightness, count, and chip type configurable)</w:t>
            </w:r>
          </w:p>
        </w:tc>
      </w:tr>
      <w:tr>
        <w:tc>
          <w:tcPr>
            <w:tcW w:type="dxa" w:w="3135"/>
          </w:tcPr>
          <w:p>
            <w:r>
              <w:t>Zev-7N Mini (numitron)</w:t>
            </w:r>
          </w:p>
        </w:tc>
        <w:tc>
          <w:tcPr>
            <w:tcW w:type="dxa" w:w="3135"/>
          </w:tcPr>
          <w:p>
            <w:r>
              <w:t>Zev-7NM</w:t>
            </w:r>
          </w:p>
        </w:tc>
        <w:tc>
          <w:tcPr>
            <w:tcW w:type="dxa" w:w="3135"/>
          </w:tcPr>
          <w:p>
            <w:r>
              <w:t>None</w:t>
            </w:r>
          </w:p>
        </w:tc>
      </w:tr>
    </w:tbl>
    <w:p>
      <w:pPr>
        <w:pStyle w:val="Normal"/>
        <w:rPr/>
      </w:pPr>
      <w:r>
        <w:rPr/>
      </w:r>
    </w:p>
    <w:p>
      <w:pPr>
        <w:pStyle w:val="Normal"/>
        <w:pBdr>
          <w:left w:val="single" w:sz="24" w:space="8" w:color="C25600"/>
        </w:pBdr>
        <w:spacing w:before="120" w:after="120"/>
        <w:ind w:start="216"/>
        <w:rPr/>
        <w:sectPr>
          <w:headerReference w:type="even" r:id="rId26"/>
          <w:headerReference w:type="default" r:id="rId27"/>
          <w:headerReference w:type="first" r:id="rId28"/>
          <w:footerReference w:type="even" r:id="rId29"/>
          <w:footerReference w:type="default" r:id="rId30"/>
          <w:footerReference w:type="first" r:id="rId3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6"/>
        </w:rPr>
        <w:t xml:space="preserve">If </w:t>
      </w:r>
      <w:r>
        <w:rPr>
          <w:rFonts w:ascii="Arial" w:hAnsi="Arial"/>
          <w:b w:val="false"/>
          <w:bCs w:val="false"/>
          <w:i w:val="false"/>
          <w:iCs w:val="false"/>
          <w:color w:val="000000"/>
          <w:sz w:val="26"/>
        </w:rPr>
        <w:t>the</w:t>
      </w:r>
      <w:r>
        <w:rPr>
          <w:rFonts w:ascii="Arial" w:hAnsi="Arial"/>
          <w:b w:val="false"/>
          <w:bCs w:val="false"/>
          <w:color w:val="000000"/>
          <w:sz w:val="26"/>
        </w:rPr>
        <w:t xml:space="preserve"> display shows 00, the processor must be returned to the manufacturer for reprogramming.</w:t>
      </w:r>
    </w:p>
    <w:p>
      <w:pPr>
        <w:pStyle w:val="Normal"/>
        <w:pBdr>
          <w:bottom w:val="single" w:sz="18" w:space="1" w:color="000000"/>
        </w:pBdr>
        <w:spacing w:before="0" w:after="0"/>
        <w:rPr/>
      </w:pPr>
      <w:r>
        <w:rPr/>
      </w:r>
    </w:p>
    <w:p>
      <w:pPr>
        <w:pStyle w:val="Heading2"/>
      </w:pPr>
      <w:r>
        <w:t>Numitron Variants (Zev-7N and Zev-7N Mini)</w:t>
      </w:r>
    </w:p>
    <w:p>
      <w:pPr/>
      <w:r>
        <w:t>The Zev-7N runs the same firmware as the Zev-7 and shares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t>Display technology: seven DR2010 numitron seven-segment filament tubes driven by four TLC59116 constant-current LED drivers over I2C, in place of the Zev-7’s IN-14 Nixie tubes and HV5530 high-voltage shift drivers. The "Nixie Brightness" setting controls numitron filament brightness on these models.</w:t>
      </w:r>
    </w:p>
    <w:p>
      <w:pPr>
        <w:pStyle w:val="ListBullet"/>
      </w:pPr>
      <w:r>
        <w:t>No high voltage: the numitron display runs at low voltage with no mercury and no ~170 V supply. The high-voltage safety note in the Copyright and Disclaimer section applies to the Nixie models only.</w:t>
      </w:r>
    </w:p>
    <w:p>
      <w:pPr>
        <w:pStyle w:val="ListBullet"/>
      </w:pPr>
      <w:r>
        <w:t>No cathode anti-poisoning: filaments do not poison, so Section 14 (Cathode Anti-Poisoning), the Anti-Poison settings on the AP and live forms, the power-on conditioning runs, and the noap rule keyword have no effect on Zev-7N models. The display simply runs the time continuously.</w:t>
      </w:r>
    </w:p>
    <w:p>
      <w:pPr>
        <w:pStyle w:val="ListBullet"/>
      </w:pPr>
      <w:r>
        <w:t>Colon indicators: the colon separators are LEDs rather than neon lamps, but every colon (neon) display pattern in Section 11 works identically.</w:t>
      </w:r>
    </w:p>
    <w:p>
      <w:pPr>
        <w:pStyle w:val="ListBullet"/>
      </w:pPr>
      <w:r>
        <w:t>Models and addressing: Zev-7N (full, with 4–20 configurable under-light LEDs) and Zev-7N Mini (no under-light). In AP mode they appear as the WiFi networks ZEV-7N and ZEV-7NM, and are reachable by name at zev-7n.local and zev-7nm.local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rFonts w:ascii="Arial" w:hAnsi="Arial"/>
          <w:sz w:val="22"/>
        </w:rPr>
        <w:sectPr>
          <w:headerReference w:type="even" r:id="rId32"/>
          <w:headerReference w:type="default" r:id="rId33"/>
          <w:headerReference w:type="first" r:id="rId34"/>
          <w:footerReference w:type="even" r:id="rId35"/>
          <w:footerReference w:type="default" r:id="rId36"/>
          <w:footerReference w:type="first" r:id="rId3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8"/>
          <w:headerReference w:type="default" r:id="rId39"/>
          <w:headerReference w:type="first" r:id="rId40"/>
          <w:footerReference w:type="even" r:id="rId41"/>
          <w:footerReference w:type="default" r:id="rId42"/>
          <w:footerReference w:type="first" r:id="rId4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
    </w:p>
    <w:p>
      <w:pPr>
        <w:pStyle w:val="Normal"/>
        <w:spacing w:before="0" w:after="80"/>
        <w:rPr/>
      </w:pPr>
      <w:r>
        <w:rPr/>
      </w:r>
    </w:p>
    <w:p>
      <w:pPr/>
      <w:r>
        <w:t>On Zev-7N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4"/>
          <w:headerReference w:type="default" r:id="rId45"/>
          <w:headerReference w:type="first" r:id="rId46"/>
          <w:footerReference w:type="even" r:id="rId47"/>
          <w:footerReference w:type="default" r:id="rId48"/>
          <w:footerReference w:type="first" r:id="rId49"/>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
    </w:p>
    <w:p>
      <w:pPr>
        <w:pStyle w:val="Normal"/>
        <w:spacing w:before="0" w:after="80"/>
        <w:rPr/>
      </w:pPr>
      <w:r>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t>Fade, Scroll, Wave, Spin Wave</w:t>
            </w:r>
          </w:p>
        </w:tc>
        <w:tc>
          <w:tcPr>
            <w:tcW w:w="3135" w:type="dxa"/>
            <w:tcBorders/>
          </w:tcPr>
          <w:p>
            <w:pPr>
              <w:pStyle w:val="Normal"/>
              <w:widowControl/>
              <w:suppressAutoHyphens w:val="true"/>
              <w:bidi w:val="0"/>
              <w:spacing w:lineRule="auto" w:line="276" w:before="0" w:after="80"/>
              <w:jc w:val="start"/>
              <w:rPr/>
            </w:pPr>
            <w:r>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t>Anti-Poison Cycle</w:t>
            </w:r>
          </w:p>
        </w:tc>
        <w:tc>
          <w:tcPr>
            <w:tcW w:w="3135" w:type="dxa"/>
            <w:tcBorders/>
          </w:tcPr>
          <w:p>
            <w:pPr>
              <w:pStyle w:val="Normal"/>
              <w:widowControl/>
              <w:suppressAutoHyphens w:val="true"/>
              <w:bidi w:val="0"/>
              <w:spacing w:lineRule="auto" w:line="276" w:before="0" w:after="80"/>
              <w:jc w:val="start"/>
              <w:rPr/>
            </w:pPr>
            <w:r>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
    </w:p>
    <w:p>
      <w:pPr>
        <w:pStyle w:val="Normal"/>
        <w:spacing w:before="0" w:after="80"/>
        <w:rPr/>
        <w:sectPr>
          <w:headerReference w:type="even" r:id="rId50"/>
          <w:headerReference w:type="default" r:id="rId51"/>
          <w:headerReference w:type="first" r:id="rId52"/>
          <w:footerReference w:type="even" r:id="rId53"/>
          <w:footerReference w:type="default" r:id="rId54"/>
          <w:footerReference w:type="first" r:id="rId5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and Weather start seconds run independently. Keep them at several seconds apart so a long info cycle on one doesn't collide with the other.</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t>Install as a Home-Screen App (Add to Home Screen)</w:t>
      </w:r>
    </w:p>
    <w:p>
      <w:pPr/>
      <w: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t>The icon is labeled with the clock’s Access Point Name, so in a multi-clock home each unit gets its own recognizable icon — for example “Kitchen Clock.”</w:t>
      </w:r>
    </w:p>
    <w:p>
      <w:pPr/>
      <w: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6"/>
          <w:headerReference w:type="default" r:id="rId57"/>
          <w:headerReference w:type="first" r:id="rId58"/>
          <w:footerReference w:type="even" r:id="rId59"/>
          <w:footerReference w:type="default" r:id="rId60"/>
          <w:footerReference w:type="first" r:id="rId6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8. Rules</w:t>
      </w:r>
    </w:p>
    <w:p>
      <w:pPr>
        <w:pStyle w:val="Normal"/>
        <w:spacing w:before="0" w:after="80"/>
        <w:rPr/>
      </w:pPr>
      <w:r>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
    </w:p>
    <w:p>
      <w:pPr>
        <w:pStyle w:val="Normal"/>
        <w:rPr/>
      </w:pPr>
      <w:r>
        <w:rPr>
          <w:rFonts w:ascii="Arial" w:hAnsi="Arial"/>
          <w:sz w:val="22"/>
        </w:rPr>
        <w:t>Priority: when two rules overlap in time, the rule listed higher in the schedule wins for the overlapping window. Use the up and down arrows on the right of each row to change a rule's priority (up = higher priority). The Rule Editor flags overlapping rules with a warning icon (⚠) so unintended interactions are visible at a glance.</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 5:00-5:59), an hour range (t=5-7), exact minutes (t=5:30-6:00), or in compact four-digit form (t=0530-0600 = 5:30-6:00). Cross-midnight ranges are allowed: t=22-6 means 10:00 PM through 5:59 AM.</w:t>
      </w:r>
    </w:p>
    <w:p>
      <w:pPr>
        <w:spacing w:before="0" w:after="80"/>
        <w:rPr/>
      </w:pPr>
      <w:r>
        <w:rPr>
          <w:rFonts w:ascii="Arial" w:hAnsi="Arial"/>
          <w:sz w:val="22"/>
        </w:rPr>
        <w:t>Field keys. Each override uses a 2-letter short key (or its full descriptive name) followed by "=" and a value. The supported keys are: nb / nixiebrightness (Nixie brightness 0-9), cd / colondisplay (colon neon pattern 0-8, see Section 11), lb / ledbrightness (LED brightness 0-9), le / ledeffect (LED effect 0-12, see Section 9), lc / ledcolor (LED color, hex #RRGGBB or color name), ub / underbrightness (under-light brightness 0-9, Zev-7 full only), uc / undercolor (under-light color, Zev-7 full only), and pir / passiveinfrared (motion-sensor timeout 0-9 - same scale as the Motion Sensor Timeout dropdown: 0=Off, 1=10s, 2=20s, 3=30s, 4=1m, 5=5m, 6=10m, 7=15m, 8=30m, 9=1hr). Add the bare keyword "wd" / "weekday" to restrict the rule to weekdays (Mon-Fri) or "we" / "weekend" to restrict it to weekends (Sat-Sun). Fields may appear in any order - the time range does not need to be first.</w:t>
      </w:r>
    </w:p>
    <w:p>
      <w:pPr/>
      <w: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spacing w:before="0" w:after="80"/>
        <w:rPr/>
      </w:pPr>
      <w:r>
        <w:rPr>
          <w:rFonts w:ascii="Arial" w:hAnsi="Arial"/>
          <w:sz w:val="22"/>
        </w:rPr>
        <w:t>Note: lc is honored only when le=12 (Custom). Using lc by itself auto-promotes the rule to effect 12. Pairing lc with any other le value is rejected by the rule editor.</w:t>
      </w:r>
    </w:p>
    <w:p>
      <w:pPr>
        <w:pStyle w:val="Heading2"/>
      </w:pPr>
      <w:r>
        <w:rPr>
          <w:rFonts w:ascii="Arial" w:hAnsi="Arial"/>
        </w:rPr>
        <w:t xml:space="preserve">Keyword Reference</w:t>
      </w:r>
    </w:p>
    <w:p>
      <w:pPr>
        <w:pStyle w:val="Normal"/>
        <w:spacing w:before="0" w:after="80"/>
        <w:jc w:val="start"/>
        <w:rPr/>
      </w:pPr>
      <w:r>
        <w:rPr>
          <w:rFonts w:ascii="Arial" w:hAnsi="Arial"/>
          <w:sz w:val="22"/>
        </w:rPr>
        <w:t xml:space="preserve">Keyword reference. Each rule may use any combination of the following keys. The short and long forms are interchangeable.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Time range. Specifies when the rule is active. Required in every rule. Format: HH:MM-HH:MM, H-H, HHMM-HHMM, or bare H. End time is exclusive.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LED effect (0-12). See Section 9 for the effect catalog. Index 12 (Custom) renders a solid color from the lc value below;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LED solid color. Hex (#RRGGBB) or color name (red, green, blue, white, yellow, cyan, magenta, orange, purple, pink, black). Honored only when le=12 (Custom). Using lc by itself auto-promotes the rule to effect 12;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t>dark</w:t>
            </w:r>
          </w:p>
        </w:tc>
        <w:tc>
          <w:tcPr>
            <w:tcW w:w="7006" w:type="dxa"/>
            <w:tcBorders/>
          </w:tcPr>
          <w:p>
            <w: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r>
        <w:tc>
          <w:tcPr>
            <w:tcW w:type="dxa" w:w="2400"/>
          </w:tcPr>
          <w:p>
            <w:r>
              <w:t>Day names / ranges</w:t>
            </w:r>
          </w:p>
        </w:tc>
        <w:tc>
          <w:tcPr>
            <w:tcW w:type="dxa" w:w="7006"/>
          </w:tcPr>
          <w:p>
            <w: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t>he / heal</w:t>
            </w:r>
          </w:p>
        </w:tc>
        <w:tc>
          <w:tcPr>
            <w:tcW w:type="dxa" w:w="7006"/>
          </w:tcPr>
          <w:p>
            <w: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Nixie models only.</w:t>
            </w:r>
          </w:p>
        </w:tc>
      </w:tr>
      <w:tr>
        <w:tc>
          <w:tcPr>
            <w:tcW w:type="dxa" w:w="2400"/>
          </w:tcPr>
          <w:p>
            <w:r>
              <w:t>off (as a value)</w:t>
            </w:r>
          </w:p>
        </w:tc>
        <w:tc>
          <w:tcPr>
            <w:tcW w:type="dxa" w:w="7006"/>
          </w:tcPr>
          <w:p>
            <w:r>
              <w:t>On any numeric field, off may be typed in place of 0 — for example nb=off, lb=off, ub=off, or heal=off. This is separate from the bare off shortcut above, which sets nb, lb, and ub together.</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t>t=7-9, tue-thu, nb=9</w:t>
            </w:r>
          </w:p>
        </w:tc>
        <w:tc>
          <w:tcPr>
            <w:tcW w:type="dxa" w:w="1567"/>
          </w:tcPr>
          <w:p>
            <w:r>
              <w:t>Day range</w:t>
            </w:r>
          </w:p>
        </w:tc>
        <w:tc>
          <w:tcPr>
            <w:tcW w:type="dxa" w:w="3136"/>
          </w:tcPr>
          <w:p>
            <w:r>
              <w:t>Full Nixie brightness from 7:00 through 8:59 AM, but only on Tuesday, Wednesday, and Thursday. Day names and ranges may be combined and mixed with wd/we.</w:t>
            </w:r>
          </w:p>
        </w:tc>
      </w:tr>
      <w:tr>
        <w:tc>
          <w:tcPr>
            <w:tcW w:type="dxa" w:w="4703"/>
          </w:tcPr>
          <w:p>
            <w:r>
              <w:t>t=0:00-6:30, heal=30</w:t>
            </w:r>
          </w:p>
        </w:tc>
        <w:tc>
          <w:tcPr>
            <w:tcW w:type="dxa" w:w="1567"/>
          </w:tcPr>
          <w:p>
            <w:r>
              <w:t>Healing window</w:t>
            </w:r>
          </w:p>
        </w:tc>
        <w:tc>
          <w:tcPr>
            <w:tcW w:type="dxa" w:w="3136"/>
          </w:tcPr>
          <w:p>
            <w:r>
              <w:t>Runs a 30-day Tube Healing session every night from midnight through 6:29 AM: the digits selected on the Tube Healing page glow to recover poisoned cathodes while the rest of the display is dark. See Section 15.</w:t>
            </w:r>
          </w:p>
        </w:tc>
      </w:tr>
      <w:tr>
        <w:tc>
          <w:tcPr>
            <w:tcW w:type="dxa" w:w="4703"/>
          </w:tcPr>
          <w:p>
            <w:r>
              <w:t>t=all, dark, nb=1, lb=0</w:t>
            </w:r>
          </w:p>
        </w:tc>
        <w:tc>
          <w:tcPr>
            <w:tcW w:type="dxa" w:w="1567"/>
          </w:tcPr>
          <w:p>
            <w:r>
              <w:t>Whenever dark</w:t>
            </w:r>
          </w:p>
        </w:tc>
        <w:tc>
          <w:tcPr>
            <w:tcW w:type="dxa" w:w="3136"/>
          </w:tcPr>
          <w:p>
            <w:r>
              <w:t>Follows the room instead of the clock: whenever the room is dark, tube brightness drops to 1 and the digit LEDs turn off. Everything returns a few seconds after the lights come on.</w:t>
            </w:r>
          </w:p>
        </w:tc>
      </w:tr>
    </w:tbl>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8"/>
          <w:headerReference w:type="default" r:id="rId69"/>
          <w:headerReference w:type="first" r:id="rId70"/>
          <w:footerReference w:type="even" r:id="rId71"/>
          <w:footerReference w:type="default" r:id="rId72"/>
          <w:footerReference w:type="first" r:id="rId73"/>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
    </w:p>
    <w:p>
      <w:pPr>
        <w:pStyle w:val="Normal"/>
        <w:spacing w:before="0" w:after="80"/>
        <w:rPr>
          <w:rFonts w:ascii="Arial" w:hAnsi="Arial"/>
          <w:sz w:val="22"/>
        </w:rPr>
        <w:sectPr>
          <w:headerReference w:type="even" r:id="rId74"/>
          <w:headerReference w:type="default" r:id="rId75"/>
          <w:headerReference w:type="first" r:id="rId76"/>
          <w:footerReference w:type="even" r:id="rId77"/>
          <w:footerReference w:type="default" r:id="rId78"/>
          <w:footerReference w:type="first" r:id="rId7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0"/>
          <w:headerReference w:type="default" r:id="rId81"/>
          <w:headerReference w:type="first" r:id="rId82"/>
          <w:footerReference w:type="even" r:id="rId83"/>
          <w:footerReference w:type="default" r:id="rId84"/>
          <w:footerReference w:type="first" r:id="rId85"/>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periodically interrupts the time display to show additional information. Date and weather information run on independent schedules controlled by the Date Display Start Second and Weather Display Start Second settings (each fires once per minute at the configured second).</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6"/>
          <w:headerReference w:type="default" r:id="rId87"/>
          <w:headerReference w:type="first" r:id="rId88"/>
          <w:footerReference w:type="even" r:id="rId89"/>
          <w:footerReference w:type="default" r:id="rId90"/>
          <w:footerReference w:type="first" r:id="rId9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
    </w:p>
    <w:p>
      <w:pPr>
        <w:pStyle w:val="Normal"/>
        <w:spacing w:before="0" w:after="80"/>
        <w:rPr/>
      </w:pPr>
      <w:r>
        <w:rPr/>
      </w:r>
    </w:p>
    <w:p>
      <w:pPr>
        <w:pStyle w:val="Heading2"/>
        <w:keepNext w:val="true"/>
        <w:pBdr>
          <w:top w:val="single" w:sz="8" w:space="4" w:color="000000"/>
        </w:pBdr>
        <w:spacing w:before="280" w:after="120"/>
        <w:rPr/>
      </w:pPr>
      <w:r>
        <w:rPr>
          <w:rFonts w:ascii="Arial" w:hAnsi="Arial"/>
          <w:b/>
          <w:color w:val="000000"/>
          <w:sz w:val="26"/>
        </w:rPr>
        <w:t>Temperature / Pressure / Humidity (BME280, Zev-7 only)</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2"/>
          <w:headerReference w:type="default" r:id="rId93"/>
          <w:headerReference w:type="first" r:id="rId94"/>
          <w:footerReference w:type="even" r:id="rId95"/>
          <w:footerReference w:type="default" r:id="rId96"/>
          <w:footerReference w:type="first" r:id="rId9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
    </w:p>
    <w:p>
      <w:pPr>
        <w:pStyle w:val="Normal"/>
        <w:spacing w:before="0" w:after="80"/>
        <w:rPr/>
      </w:pPr>
      <w:r>
        <w:rPr/>
      </w:r>
    </w:p>
    <w:p>
      <w:pPr/>
      <w:r>
        <w:t>Applies to Nixie models only. The Zev-7N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b/>
        </w:rPr>
        <w:t>Anti-Poison Cycle</w:t>
      </w:r>
      <w:r>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b/>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
    </w:p>
    <w:p>
      <w:pPr>
        <w:pStyle w:val="Normal"/>
        <w:rPr/>
      </w:pPr>
      <w:r>
        <w:rPr>
          <w:b/>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8"/>
          <w:headerReference w:type="default" r:id="rId99"/>
          <w:headerReference w:type="first" r:id="rId100"/>
          <w:footerReference w:type="even" r:id="rId101"/>
          <w:footerReference w:type="default" r:id="rId102"/>
          <w:footerReference w:type="first" r:id="rId10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
    </w:p>
    <w:p>
      <w:pPr>
        <w:pStyle w:val="Heading1"/>
      </w:pPr>
      <w:r>
        <w:t>15. Tube Healing</w:t>
      </w:r>
    </w:p>
    <w:p>
      <w:pPr/>
      <w: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Zev-7N numitron models use filament tubes that do not poison, and have no Tube Healing page.</w:t>
      </w:r>
    </w:p>
    <w:p>
      <w:pPr/>
      <w: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t>1. Find the weak cathodes. Tap a digit-test button and that digit is shown on every tube for a few seconds while the button turns blue. Step through the digits and note which tube-and-digit combinations look dim or patchy compared with the rest.</w:t>
      </w:r>
    </w:p>
    <w:p>
      <w:pPr/>
      <w:r>
        <w:t>2. Select and arm. In the grid, tick each weak digit under its tube (tube 1 is the leftmost). Turn the Healing switch on. Selections are saved immediately and survive a reboot.</w:t>
      </w:r>
    </w:p>
    <w:p>
      <w:pPr/>
      <w: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Outside the window the clock behaves normally.</w:t>
      </w:r>
    </w:p>
    <w:p>
      <w:pPr/>
      <w: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When the check completes, the result is shown — either confirmation that the firmware is already current (with its version number) or a brief error — and the page then returns to the home screen automatically. If a newer version is available, it is downloaded and installed and the clock reboots into it.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two tubes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88</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Connecting to WiFi and the firmware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1 0 7)</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3 seconds, then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counts 0–9</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flashing new firmware (cycling counter)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Update successful. Reboots automatically after 3 seconds.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3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Major version change (e.g., 1.x.x to 2.x.x): All settings are reset to factory defaults after the update.</w:t>
      </w:r>
    </w:p>
    <w:p>
      <w:pPr>
        <w:pStyle w:val="Normal"/>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Minor or patch change (e.g., 1.0.6 to 1.0.7): All settings are preserved.</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0"/>
          <w:headerReference w:type="default" r:id="rId111"/>
          <w:headerReference w:type="first" r:id="rId112"/>
          <w:footerReference w:type="even" r:id="rId113"/>
          <w:footerReference w:type="default" r:id="rId114"/>
          <w:footerReference w:type="first" r:id="rId11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18. Troubleshooting</w:t>
      </w:r>
    </w:p>
    <w:p>
      <w:pPr>
        <w:pStyle w:val="Normal"/>
        <w:pBdr>
          <w:bottom w:val="single" w:sz="18" w:space="1" w:color="000000"/>
        </w:pBdr>
        <w:spacing w:before="0" w:after="0"/>
        <w:rPr/>
      </w:pPr>
      <w:r>
        <w:rPr/>
      </w:r>
    </w:p>
    <w:p>
      <w:pPr>
        <w:pStyle w:val="Normal"/>
        <w:spacing w:before="0" w:after="80"/>
        <w:rPr/>
      </w:pPr>
      <w:r>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6"/>
          <w:headerReference w:type="default" r:id="rId117"/>
          <w:headerReference w:type="first" r:id="rId118"/>
          <w:footerReference w:type="even" r:id="rId119"/>
          <w:footerReference w:type="default" r:id="rId120"/>
          <w:footerReference w:type="first" r:id="rId121"/>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2"/>
      <w:headerReference w:type="default" r:id="rId123"/>
      <w:headerReference w:type="first" r:id="rId124"/>
      <w:footerReference w:type="even" r:id="rId125"/>
      <w:footerReference w:type="default" r:id="rId126"/>
      <w:footerReference w:type="first" r:id="rId127"/>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Calibri" w:hAnsi="Calibri"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