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rPr>
                <w:rFonts w:ascii="Arial" w:hAnsi="Arial"/>
                <w:sz w:val="20"/>
              </w:rPr>
              <w:t>V6 — sunrise and sunset may be abbreviated sr and ss. V5 — adds sunrise/sunset rule anchors (a rule's time range can follow the sun, with optional offsets), Latitude and Longitude on the System page with a map picker, and documents Automatic Updates and automatic recovery from a failed update. Corrects the previous statement that a major version change resets settings to factory defaults — firmware updates now always preserve settings — and the Custom LED effect index (12 to 13). V4 — adds the dark rule keyword (rules that apply only while the room is dark), the Weather Display Frequency setting.</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rPr>
                <w:rFonts w:ascii="Arial" w:hAnsi="Arial"/>
                <w:sz w:val="20"/>
              </w:rPr>
              <w:t>V6</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 (Earlier firmware wiped settings on a major version change; that behavior was removed.)</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Settings are returned to factory defaults only by the deliberate reset in Section 17, or on the very first start-up of a new clock.</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Updates</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Recovery from a Failed Update</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