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present the same web interface and rule-based scheduling, each running its own firmware.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runs a third. All are operationally similar, differing where the display hardware and its capabilities differ.</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 one per tube, or two per tube on the Zev-7-18 and Zev-7RZ; the Metronome has 15 RGB LEDs (one per tube). Every model except the Zev-7ND also has separate under-light LEDs along the front edge of the base.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