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365d"/>
          <w:sz w:val="52"/>
          <w:szCs w:val="52"/>
        </w:rPr>
        <w:t xml:space="preserve">BGIN × agentprivacy</w:t>
      </w:r>
    </w:p>
    <w:p>
      <w:pPr>
        <w:spacing w:after="400"/>
        <w:jc w:val="center"/>
      </w:pPr>
      <w:r>
        <w:rPr>
          <w:color w:val="3d5a80"/>
          <w:sz w:val="36"/>
          <w:szCs w:val="36"/>
        </w:rPr>
        <w:t xml:space="preserve">Collaborative Framework Proposal</w:t>
      </w:r>
    </w:p>
    <w:p>
      <w:pPr>
        <w:spacing w:after="100"/>
        <w:jc w:val="center"/>
      </w:pPr>
      <w:r>
        <w:rPr>
          <w:i/>
          <w:iCs/>
          <w:sz w:val="24"/>
          <w:szCs w:val="24"/>
        </w:rPr>
        <w:t xml:space="preserve">Incident Response Agent Case Study</w:t>
      </w:r>
    </w:p>
    <w:p>
      <w:pPr>
        <w:spacing w:after="100"/>
        <w:jc w:val="center"/>
      </w:pPr>
      <w:r>
        <w:rPr>
          <w:i/>
          <w:iCs/>
          <w:sz w:val="24"/>
          <w:szCs w:val="24"/>
        </w:rPr>
        <w:t xml:space="preserve">IEEE 7012 Data Contribution Integration</w:t>
      </w:r>
    </w:p>
    <w:p>
      <w:pPr>
        <w:spacing w:after="400"/>
        <w:jc w:val="center"/>
      </w:pPr>
      <w:r>
        <w:rPr>
          <w:i/>
          <w:iCs/>
          <w:sz w:val="24"/>
          <w:szCs w:val="24"/>
        </w:rPr>
        <w:t xml:space="preserve">Foundation ↔ Labs ↔ DAO Sustainability Model</w:t>
      </w:r>
    </w:p>
    <w:p>
      <w:pPr>
        <w:spacing w:after="600"/>
        <w:jc w:val="center"/>
      </w:pPr>
      <w:r>
        <w:rPr>
          <w:color w:val="666666"/>
          <w:sz w:val="20"/>
          <w:szCs w:val="20"/>
        </w:rPr>
        <w:t xml:space="preserve">January 2026 | Draft for Discussion</w:t>
      </w:r>
    </w:p>
    <w:p>
      <w:pPr>
        <w:pStyle w:val="Heading1"/>
      </w:pPr>
      <w:r>
        <w:t xml:space="preserve">Executive Summary</w:t>
      </w:r>
    </w:p>
    <w:p>
      <w:pPr>
        <w:spacing w:after="200"/>
      </w:pPr>
      <w:r>
        <w:t xml:space="preserve">This proposal establishes a collaborative framework between the Blockchain Governance Initiative Network (BGIN) and agentprivacy.ai, using the Incident Response Agent project as a foundational case study. The framework demonstrates how privacy-preserving multi-agent architectures can enable secure information sharing between organizations while maintaining stakeholder sovereignty.</w:t>
      </w:r>
    </w:p>
    <w:p>
      <w:pPr>
        <w:spacing w:after="200"/>
      </w:pPr>
      <w:r>
        <w:rPr>
          <w:b/>
          <w:bCs/>
        </w:rPr>
        <w:t xml:space="preserve">Critical Distinction: </w:t>
      </w:r>
      <w:r>
        <w:t xml:space="preserve">agentprivacy is not a wallet system—it is a governance framework and living documentation system for agentic learning. It exists in its own category, providing the agreement layer and governance scaffolding upon which wallet systems and other infrastructure can layer. This is why we begin with the agreement layer: establishing the governance foundation first enables interoperability with diverse wallet implementations, identity systems, and data infrastructure.</w:t>
      </w:r>
    </w:p>
    <w:p>
      <w:pPr>
        <w:spacing w:after="200"/>
      </w:pPr>
      <w:r>
        <w:t xml:space="preserve">The collaboration is structured around three pillars: (1) validating the agentprivacy governance framework through practical implementation, (2) establishing IEEE 7012-aligned data contribution and relationship agreements for agentic systems, and (3) creating a sustainable Foundation ↔ Labs ↔ DAO model that enables merit-based reciprocity while respecting BGIN's non-compensatory structure.</w:t>
      </w:r>
    </w:p>
    <w:p>
      <w:pPr>
        <w:spacing w:after="200"/>
      </w:pPr>
      <w:r>
        <w:t xml:space="preserve">The technical foundation combines provenance graph infrastructure from NEC/Cybersmart with a knowledge graph built collaboratively by BGIN and its members. Both graphs remain iterative—continuously refined through the Block-to-Block development cycle. agentprivacy offers the origination of the knowledge graph as an initial in-kind contribution, with subsequent contributions from participating organizations aggregated between Block milestones and committed upon Block reviews.</w:t>
      </w:r>
    </w:p>
    <w:p>
      <w:pPr>
        <w:spacing w:after="200"/>
      </w:pPr>
      <w:r>
        <w:t xml:space="preserve">Beyond the core framework, this collaboration creates pathways for joint pursuit of Ethereum Foundation grants, particularly in Privacy Pools and privacy authentication research. Success in these areas can lead to deeper collaboration and progressive decentralization—distributing both grant outcomes and governance authority to sustaining organizations and individual contributors who maintain agreements and permissions within the system.</w:t>
      </w:r>
    </w:p>
    <w:p>
      <w:pPr>
        <w:spacing w:after="300"/>
      </w:pPr>
      <w:r>
        <w:t xml:space="preserve">This model positions both organizations to contribute to standards bodies, pursue collaborative grants, and potentially establish a maintained Labs entity for ongoing public goods stewardship—with contribution recognition mechanisms aligned to the Block-to-Block development lifecycle.</w:t>
      </w:r>
    </w:p>
    <w:p>
      <w:r>
        <w:br w:type="page"/>
      </w:r>
    </w:p>
    <w:p>
      <w:pPr>
        <w:pStyle w:val="Heading1"/>
      </w:pPr>
      <w:r>
        <w:t xml:space="preserve">1. Understanding agentprivacy</w:t>
      </w:r>
    </w:p>
    <w:p>
      <w:pPr>
        <w:pStyle w:val="Heading2"/>
      </w:pPr>
      <w:r>
        <w:t xml:space="preserve">1.1 A Governance Framework, Not a Wallet</w:t>
      </w:r>
    </w:p>
    <w:p>
      <w:pPr>
        <w:spacing w:after="200"/>
      </w:pPr>
      <w:r>
        <w:t xml:space="preserve">agentprivacy occupies a distinct category in the decentralized infrastructure landscape. It is not a wallet, not a credential issuer, and not a data storage system. Rather, it is:</w:t>
      </w:r>
    </w:p>
    <w:p>
      <w:pPr>
        <w:spacing w:after="150"/>
      </w:pPr>
      <w:r>
        <w:rPr>
          <w:b/>
          <w:bCs/>
        </w:rPr>
        <w:t xml:space="preserve">A Governance Framework: </w:t>
      </w:r>
      <w:r>
        <w:t xml:space="preserve">Defining how agents, organizations, and individuals establish, maintain, and evolve their data relationships through formalized agreements.</w:t>
      </w:r>
    </w:p>
    <w:p>
      <w:pPr>
        <w:spacing w:after="150"/>
      </w:pPr>
      <w:r>
        <w:rPr>
          <w:b/>
          <w:bCs/>
        </w:rPr>
        <w:t xml:space="preserve">Living Documentation: </w:t>
      </w:r>
      <w:r>
        <w:t xml:space="preserve">A continuously evolving knowledge base that captures governance patterns, regulatory mappings, and best practices for agentic systems—learning and adapting through each implementation.</w:t>
      </w:r>
    </w:p>
    <w:p>
      <w:pPr>
        <w:spacing w:after="200"/>
      </w:pPr>
      <w:r>
        <w:rPr>
          <w:b/>
          <w:bCs/>
        </w:rPr>
        <w:t xml:space="preserve">An Agreement Layer: </w:t>
      </w:r>
      <w:r>
        <w:t xml:space="preserve">The foundational substrate upon which wallet systems, identity providers, and data infrastructure can build, ensuring governance coherence across diverse technical implementations.</w:t>
      </w:r>
    </w:p>
    <w:p>
      <w:pPr>
        <w:pStyle w:val="Heading2"/>
      </w:pPr>
      <w:r>
        <w:t xml:space="preserve">1.2 Why Start with the Agreement Layer</w:t>
      </w:r>
    </w:p>
    <w:p>
      <w:pPr>
        <w:spacing w:after="200"/>
      </w:pPr>
      <w:r>
        <w:t xml:space="preserve">By establishing governance foundations first, this approach enables:</w:t>
      </w:r>
    </w:p>
    <w:p>
      <w:pPr>
        <w:spacing w:after="150"/>
      </w:pPr>
      <w:r>
        <w:rPr>
          <w:b/>
          <w:bCs/>
        </w:rPr>
        <w:t xml:space="preserve">Wallet Agnosticism: </w:t>
      </w:r>
      <w:r>
        <w:t xml:space="preserve">Any compliant wallet system can layer on top of the agentprivacy framework, inheriting its governance guarantees without vendor lock-in.</w:t>
      </w:r>
    </w:p>
    <w:p>
      <w:pPr>
        <w:spacing w:after="150"/>
      </w:pPr>
      <w:r>
        <w:rPr>
          <w:b/>
          <w:bCs/>
        </w:rPr>
        <w:t xml:space="preserve">Identity Pluralism: </w:t>
      </w:r>
      <w:r>
        <w:t xml:space="preserve">Multiple identity systems (WorldID, government credentials, organizational attestations) can participate in the same governance framework.</w:t>
      </w:r>
    </w:p>
    <w:p>
      <w:pPr>
        <w:spacing w:after="150"/>
      </w:pPr>
      <w:r>
        <w:rPr>
          <w:b/>
          <w:bCs/>
        </w:rPr>
        <w:t xml:space="preserve">Progressive Enhancement: </w:t>
      </w:r>
      <w:r>
        <w:t xml:space="preserve">Organizations can adopt the agreement layer immediately, then integrate technical infrastructure (wallets, storage, agents) as capabilities mature.</w:t>
      </w:r>
    </w:p>
    <w:p>
      <w:pPr>
        <w:spacing w:after="300"/>
      </w:pPr>
      <w:r>
        <w:rPr>
          <w:b/>
          <w:bCs/>
        </w:rPr>
        <w:t xml:space="preserve">Regulatory Alignment: </w:t>
      </w:r>
      <w:r>
        <w:t xml:space="preserve">Governance-first design ensures compliance considerations are embedded from the start, rather than retrofitted onto technical systems.</w:t>
      </w:r>
    </w:p>
    <w:p>
      <w:r>
        <w:br w:type="page"/>
      </w:r>
    </w:p>
    <w:p>
      <w:pPr>
        <w:pStyle w:val="Heading1"/>
      </w:pPr>
      <w:r>
        <w:t xml:space="preserve">2. Case Study: Incident Response Agent</w:t>
      </w:r>
    </w:p>
    <w:p>
      <w:pPr>
        <w:pStyle w:val="Heading2"/>
      </w:pPr>
      <w:r>
        <w:t xml:space="preserve">2.1 Framework Validation</w:t>
      </w:r>
    </w:p>
    <w:p>
      <w:pPr>
        <w:spacing w:after="200"/>
      </w:pPr>
      <w:r>
        <w:t xml:space="preserve">The BGIN Incident Response Agent provides an ideal proving ground for the agentprivacy governance framework. Information security incidents require rapid, coordinated response across organizational boundaries while maintaining strict confidentiality about vulnerabilities, affected parties, and remediation strategies.</w:t>
      </w:r>
    </w:p>
    <w:p>
      <w:pPr>
        <w:spacing w:after="200"/>
      </w:pPr>
      <w:r>
        <w:t xml:space="preserve">The agentprivacy architecture addresses this through its dual-agent model: governance agents operate with organizational permissions while personal agents maintain individual sovereignty. For incident response, this translates 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5" w:val="clear"/>
            <w:tcMar>
              <w:top w:type="dxa" w:w="100"/>
              <w:left w:type="dxa" w:w="150"/>
              <w:bottom w:type="dxa" w:w="100"/>
              <w:right w:type="dxa" w:w="150"/>
            </w:tcMar>
          </w:tcPr>
          <w:p>
            <w:r>
              <w:rPr>
                <w:b/>
                <w:bCs/>
              </w:rPr>
              <w:t xml:space="preserve">Component</w:t>
            </w:r>
          </w:p>
        </w:tc>
        <w:tc>
          <w:tcPr>
            <w:tcW w:type="dxa" w:w="6240"/>
            <w:tcBorders>
              <w:top w:val="single" w:color="CCCCCC" w:sz="1"/>
              <w:left w:val="single" w:color="CCCCCC" w:sz="1"/>
              <w:bottom w:val="single" w:color="CCCCCC" w:sz="1"/>
              <w:right w:val="single" w:color="CCCCCC" w:sz="1"/>
            </w:tcBorders>
            <w:shd w:fill="e8f0f5" w:val="clear"/>
            <w:tcMar>
              <w:top w:type="dxa" w:w="100"/>
              <w:left w:type="dxa" w:w="150"/>
              <w:bottom w:type="dxa" w:w="100"/>
              <w:right w:type="dxa" w:w="150"/>
            </w:tcMar>
          </w:tcPr>
          <w:p>
            <w:r>
              <w:rPr>
                <w:b/>
                <w:bCs/>
              </w:rPr>
              <w:t xml:space="preserve">Function in Incident Response</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rPr>
              <w:t xml:space="preserve">Archive Agent</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Maintains encrypted historical incident data with selective disclosure capabilities for authorized parties</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rPr>
              <w:t xml:space="preserve">Codex Agent</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Encodes response protocols, compliance requirements, and cross-jurisdictional coordination rules</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rPr>
              <w:t xml:space="preserve">Discourse Agent</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Facilitates stakeholder communication while preserving appropriate confidentiality boundaries</w:t>
            </w:r>
          </w:p>
        </w:tc>
      </w:tr>
    </w:tbl>
    <w:p>
      <w:pPr>
        <w:spacing w:before="200" w:after="200"/>
      </w:pPr>
    </w:p>
    <w:p>
      <w:pPr>
        <w:pStyle w:val="Heading2"/>
      </w:pPr>
      <w:r>
        <w:t xml:space="preserve">2.2 Proof of Framework Efficacy</w:t>
      </w:r>
    </w:p>
    <w:p>
      <w:pPr>
        <w:spacing w:after="200"/>
      </w:pPr>
      <w:r>
        <w:t xml:space="preserve">This case study will demonstrate several key capabilities:</w:t>
      </w:r>
    </w:p>
    <w:p>
      <w:pPr>
        <w:spacing w:after="150"/>
      </w:pPr>
      <w:r>
        <w:rPr>
          <w:b/>
          <w:bCs/>
        </w:rPr>
        <w:t xml:space="preserve">Privacy-Preserving Information Sharing: </w:t>
      </w:r>
      <w:r>
        <w:t xml:space="preserve">Agents can share actionable intelligence about threats without revealing organizational vulnerabilities or affected user identities.</w:t>
      </w:r>
    </w:p>
    <w:p>
      <w:pPr>
        <w:spacing w:after="150"/>
      </w:pPr>
      <w:r>
        <w:rPr>
          <w:b/>
          <w:bCs/>
        </w:rPr>
        <w:t xml:space="preserve">Verifiable Credential Exchange: </w:t>
      </w:r>
      <w:r>
        <w:t xml:space="preserve">Response team members authenticate through zero-knowledge proofs of organizational membership and role authorization.</w:t>
      </w:r>
    </w:p>
    <w:p>
      <w:pPr>
        <w:spacing w:after="150"/>
      </w:pPr>
      <w:r>
        <w:rPr>
          <w:b/>
          <w:bCs/>
        </w:rPr>
        <w:t xml:space="preserve">Auditable Decision Trails: </w:t>
      </w:r>
      <w:r>
        <w:t xml:space="preserve">All agent actions create cryptographically verifiable logs for post-incident review and regulatory compliance.</w:t>
      </w:r>
    </w:p>
    <w:p>
      <w:pPr>
        <w:spacing w:after="300"/>
      </w:pPr>
      <w:r>
        <w:rPr>
          <w:b/>
          <w:bCs/>
        </w:rPr>
        <w:t xml:space="preserve">Cross-Organizational Coordination: </w:t>
      </w:r>
      <w:r>
        <w:t xml:space="preserve">Multiple BGIN members can coordinate response efforts without exposing proprietary security postures.</w:t>
      </w:r>
    </w:p>
    <w:p>
      <w:r>
        <w:br w:type="page"/>
      </w:r>
    </w:p>
    <w:p>
      <w:pPr>
        <w:pStyle w:val="Heading1"/>
      </w:pPr>
      <w:r>
        <w:t xml:space="preserve">3. IEEE 7012 MyTerms Agreement Framework</w:t>
      </w:r>
    </w:p>
    <w:p>
      <w:pPr>
        <w:spacing w:after="200"/>
      </w:pPr>
      <w:r>
        <w:t xml:space="preserve">The agentprivacy architecture integrates IEEE 7012 agreements as a two-tier permission layer for all interactions with BGIN's agentic infrastructure. This creates a legally coherent framework for data dignity in agentic systems, distinguishing between ongoing service relationships and specific data contribution events.</w:t>
      </w:r>
    </w:p>
    <w:p>
      <w:pPr>
        <w:pStyle w:val="Heading2"/>
      </w:pPr>
      <w:r>
        <w:t xml:space="preserve">3.1 Tier 1: Service Delivery Base Agreements</w:t>
      </w:r>
    </w:p>
    <w:p>
      <w:pPr>
        <w:spacing w:after="200"/>
      </w:pPr>
      <w:r>
        <w:t xml:space="preserve">These agreements establish the foundational relationship between individuals and BGIN's organizational infrastructure. They would be present on all BGIN-hosted websites and govern access to BGIN agents.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4e8d4" w:val="clear"/>
            <w:tcMar>
              <w:top w:type="dxa" w:w="100"/>
              <w:left w:type="dxa" w:w="150"/>
              <w:bottom w:type="dxa" w:w="100"/>
              <w:right w:type="dxa" w:w="150"/>
            </w:tcMar>
          </w:tcPr>
          <w:p>
            <w:r>
              <w:rPr>
                <w:b/>
                <w:bCs/>
              </w:rPr>
              <w:t xml:space="preserve">Agreement</w:t>
            </w:r>
          </w:p>
        </w:tc>
        <w:tc>
          <w:tcPr>
            <w:tcW w:type="dxa" w:w="7020"/>
            <w:tcBorders>
              <w:top w:val="single" w:color="CCCCCC" w:sz="1"/>
              <w:left w:val="single" w:color="CCCCCC" w:sz="1"/>
              <w:bottom w:val="single" w:color="CCCCCC" w:sz="1"/>
              <w:right w:val="single" w:color="CCCCCC" w:sz="1"/>
            </w:tcBorders>
            <w:shd w:fill="d4e8d4" w:val="clear"/>
            <w:tcMar>
              <w:top w:type="dxa" w:w="100"/>
              <w:left w:type="dxa" w:w="150"/>
              <w:bottom w:type="dxa" w:w="100"/>
              <w:right w:type="dxa" w:w="150"/>
            </w:tcMar>
          </w:tcPr>
          <w:p>
            <w:r>
              <w:rPr>
                <w:b/>
                <w:bCs/>
              </w:rPr>
              <w:t xml:space="preserve">Purpose &amp; Application</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rPr>
              <w:t xml:space="preserve">SD-BASE</w:t>
            </w:r>
          </w:p>
        </w:tc>
        <w:tc>
          <w:tcPr>
            <w:tcW w:type="dxa" w:w="70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The base level service delivery relationship agreement. This is the default relationship agreement for any individual using an agent to interact with BGIN infrastructure. It establishes the ongoing digital relationship between user and organization, governing how the service operates, what data is necessary for service delivery, and the mutual obligations of both parties. Required for: accessing BGIN websites, interacting with BGIN agents, participating in working group platforms.</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rPr>
              <w:t xml:space="preserve">SD-BASE-DP</w:t>
            </w:r>
          </w:p>
        </w:tc>
        <w:tc>
          <w:tcPr>
            <w:tcW w:type="dxa" w:w="70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A variant of SD-BASE with the added requirement that the individual wishes to include a data portability request in their terms. Under SD-BASE-DP, users maintain their own instance of all data generated within the relationship. This enables: personal archives of contributions, portable reputation credentials, sovereign data vaults for AI agent authorization. Recommended for: active contributors, working group participants, researchers requiring data continuity.</w:t>
            </w:r>
          </w:p>
        </w:tc>
      </w:tr>
    </w:tbl>
    <w:p>
      <w:pPr>
        <w:spacing w:before="300" w:after="200"/>
      </w:pPr>
    </w:p>
    <w:p>
      <w:pPr>
        <w:pStyle w:val="Heading2"/>
      </w:pPr>
      <w:r>
        <w:t xml:space="preserve">3.2 Tier 2: Data Contribution Agreements</w:t>
      </w:r>
    </w:p>
    <w:p>
      <w:pPr>
        <w:spacing w:after="200"/>
      </w:pPr>
      <w:r>
        <w:t xml:space="preserve">These agreements govern specific, purposeful data contributions within an established SD-BASE relationship. They support one-off or targeted data sharing for particular purposes.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e8f0f5" w:val="clear"/>
            <w:tcMar>
              <w:top w:type="dxa" w:w="100"/>
              <w:left w:type="dxa" w:w="150"/>
              <w:bottom w:type="dxa" w:w="100"/>
              <w:right w:type="dxa" w:w="150"/>
            </w:tcMar>
          </w:tcPr>
          <w:p>
            <w:r>
              <w:rPr>
                <w:b/>
                <w:bCs/>
              </w:rPr>
              <w:t xml:space="preserve">Agreement</w:t>
            </w:r>
          </w:p>
        </w:tc>
        <w:tc>
          <w:tcPr>
            <w:tcW w:type="dxa" w:w="3500"/>
            <w:tcBorders>
              <w:top w:val="single" w:color="CCCCCC" w:sz="1"/>
              <w:left w:val="single" w:color="CCCCCC" w:sz="1"/>
              <w:bottom w:val="single" w:color="CCCCCC" w:sz="1"/>
              <w:right w:val="single" w:color="CCCCCC" w:sz="1"/>
            </w:tcBorders>
            <w:shd w:fill="e8f0f5" w:val="clear"/>
            <w:tcMar>
              <w:top w:type="dxa" w:w="100"/>
              <w:left w:type="dxa" w:w="150"/>
              <w:bottom w:type="dxa" w:w="100"/>
              <w:right w:type="dxa" w:w="150"/>
            </w:tcMar>
          </w:tcPr>
          <w:p>
            <w:r>
              <w:rPr>
                <w:b/>
                <w:bCs/>
              </w:rPr>
              <w:t xml:space="preserve">Traditional Use</w:t>
            </w:r>
          </w:p>
        </w:tc>
        <w:tc>
          <w:tcPr>
            <w:tcW w:type="dxa" w:w="3860"/>
            <w:tcBorders>
              <w:top w:val="single" w:color="CCCCCC" w:sz="1"/>
              <w:left w:val="single" w:color="CCCCCC" w:sz="1"/>
              <w:bottom w:val="single" w:color="CCCCCC" w:sz="1"/>
              <w:right w:val="single" w:color="CCCCCC" w:sz="1"/>
            </w:tcBorders>
            <w:shd w:fill="e8f0f5" w:val="clear"/>
            <w:tcMar>
              <w:top w:type="dxa" w:w="100"/>
              <w:left w:type="dxa" w:w="150"/>
              <w:bottom w:type="dxa" w:w="100"/>
              <w:right w:type="dxa" w:w="150"/>
            </w:tcMar>
          </w:tcPr>
          <w:p>
            <w:r>
              <w:rPr>
                <w:b/>
                <w:bCs/>
              </w:rPr>
              <w:t xml:space="preserve">Agentic Application</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rPr>
              <w:t xml:space="preserve">PDC-AI</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Data access for AI training and operation</w:t>
            </w:r>
          </w:p>
        </w:tc>
        <w:tc>
          <w:tcPr>
            <w:tcW w:type="dxa" w:w="3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Governs how personal agents may share user data with governance agents for collective AI improvement</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rPr>
              <w:t xml:space="preserve">PDC-GOOD</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Data for Good projects</w:t>
            </w:r>
          </w:p>
        </w:tc>
        <w:tc>
          <w:tcPr>
            <w:tcW w:type="dxa" w:w="3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Enables incident data sharing for ecosystem-wide security improvements without competitive disclosure</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rPr>
              <w:t xml:space="preserve">PDC-INTENT</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Intention Economy enablement</w:t>
            </w:r>
          </w:p>
        </w:tc>
        <w:tc>
          <w:tcPr>
            <w:tcW w:type="dxa" w:w="3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Allows users to express security preferences and tolerance levels through their agents</w:t>
            </w:r>
          </w:p>
        </w:tc>
      </w:tr>
    </w:tbl>
    <w:p>
      <w:pPr>
        <w:spacing w:before="300" w:after="200"/>
      </w:pPr>
    </w:p>
    <w:p>
      <w:pPr>
        <w:pStyle w:val="Heading2"/>
      </w:pPr>
      <w:r>
        <w:t xml:space="preserve">3.3 Agreement Architecture for BGIN Infrastructure</w:t>
      </w:r>
    </w:p>
    <w:p>
      <w:pPr>
        <w:spacing w:after="200"/>
      </w:pPr>
      <w:r>
        <w:t xml:space="preserve">The two-tier structure creates a clear separation of concerns: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pPr>
              <w:jc w:val="center"/>
            </w:pPr>
            <w:r>
              <w:rPr>
                <w:b/>
                <w:bCs/>
              </w:rPr>
              <w:t xml:space="preserve">Touchpoint</w:t>
            </w:r>
          </w:p>
        </w:tc>
        <w:tc>
          <w:tcPr>
            <w:tcW w:type="dxa" w:w="312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pPr>
              <w:jc w:val="center"/>
            </w:pPr>
            <w:r>
              <w:rPr>
                <w:b/>
                <w:bCs/>
              </w:rPr>
              <w:t xml:space="preserve">Required Agreement</w:t>
            </w:r>
          </w:p>
        </w:tc>
        <w:tc>
          <w:tcPr>
            <w:tcW w:type="dxa" w:w="312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pPr>
              <w:jc w:val="center"/>
            </w:pPr>
            <w:r>
              <w:rPr>
                <w:b/>
                <w:bCs/>
              </w:rPr>
              <w:t xml:space="preserve">Optional Add-ons</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BGIN Websites</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SD-BASE</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SD-BASE-DP, PDC-AI</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Archive Agent Access</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SD-BASE</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SD-BASE-DP, PDC-GOOD</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Codex Agent Access</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SD-BASE</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SD-BASE-DP, PDC-AI</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Discourse Agent Access</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SD-BASE</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SD-BASE-DP, PDC-INTENT</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Incident Response Participation</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SD-BASE + PDC-GOOD</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SD-BASE-DP</w:t>
            </w:r>
          </w:p>
        </w:tc>
      </w:tr>
    </w:tbl>
    <w:p>
      <w:pPr>
        <w:spacing w:before="300" w:after="200"/>
      </w:pPr>
    </w:p>
    <w:p>
      <w:pPr>
        <w:pStyle w:val="Heading2"/>
      </w:pPr>
      <w:r>
        <w:t xml:space="preserve">3.4 MyTerms Integration &amp; Proof of Humanity</w:t>
      </w:r>
    </w:p>
    <w:p>
      <w:pPr>
        <w:spacing w:after="200"/>
      </w:pPr>
      <w:r>
        <w:t xml:space="preserve">The agentprivacy framework proposes building agentic permissions and authentication around the MyTerms model, where users establish persistent, portable terms for data contribution that their agents enforce automatically. This creates:</w:t>
      </w:r>
    </w:p>
    <w:p>
      <w:pPr>
        <w:spacing w:after="150"/>
      </w:pPr>
      <w:r>
        <w:rPr>
          <w:b/>
          <w:bCs/>
        </w:rPr>
        <w:t xml:space="preserve">User Sovereignty: </w:t>
      </w:r>
      <w:r>
        <w:t xml:space="preserve">Individuals control how their data contributes to collective goods, with agents as enforcement mechanisms rather than intermediaries requiring trust.</w:t>
      </w:r>
    </w:p>
    <w:p>
      <w:pPr>
        <w:spacing w:after="150"/>
      </w:pPr>
      <w:r>
        <w:rPr>
          <w:b/>
          <w:bCs/>
        </w:rPr>
        <w:t xml:space="preserve">Proof of Humanity Integration: </w:t>
      </w:r>
      <w:r>
        <w:t xml:space="preserve">WorldID and similar verification systems provide the identity anchor for both SD-BASE relationships and PDC contribution agreements, ensuring human principals authorize agent actions.</w:t>
      </w:r>
    </w:p>
    <w:p>
      <w:pPr>
        <w:spacing w:after="300"/>
      </w:pPr>
      <w:r>
        <w:rPr>
          <w:b/>
          <w:bCs/>
        </w:rPr>
        <w:t xml:space="preserve">Verifiable Data Relationships: </w:t>
      </w:r>
      <w:r>
        <w:t xml:space="preserve">All service relationships and data contributions create auditable trails linking back to human authorization through cryptographic verification.</w:t>
      </w:r>
    </w:p>
    <w:p>
      <w:r>
        <w:br w:type="page"/>
      </w:r>
    </w:p>
    <w:p>
      <w:pPr>
        <w:pStyle w:val="Heading1"/>
      </w:pPr>
      <w:r>
        <w:t xml:space="preserve">4. Technical Foundation: Iterative Graph Infrastructure</w:t>
      </w:r>
    </w:p>
    <w:p>
      <w:pPr>
        <w:spacing w:after="200"/>
      </w:pPr>
      <w:r>
        <w:t xml:space="preserve">The Incident Response Agent architecture relies on two complementary graph structures with distinct origins and governance. Critically, both graphs are designed to be iterative—continuously refined through the Block-to-Block development cycle. This iterative nature is why we begin with foundational governance agreements: the technical infrastructure will evolve, but the governance layer provides stability.</w:t>
      </w:r>
    </w:p>
    <w:p>
      <w:pPr>
        <w:pStyle w:val="Heading2"/>
      </w:pPr>
      <w:r>
        <w:t xml:space="preserve">4.1 Provenance Graph (NEC/Cybersmart)</w:t>
      </w:r>
    </w:p>
    <w:p>
      <w:pPr>
        <w:spacing w:after="200"/>
      </w:pPr>
      <w:r>
        <w:t xml:space="preserve">The provenance graph infrastructure is contributed by NEC/Cybersmart, providing the cryptographic audit trail for all agent actions, data transformations, and decision pathways. This establishes the verifiable lineage required for regulatory compliance and post-incident forensics. The provenance graph answers: who did what, when, with what authorization, and what were the downstream effects. As an iterative system, the provenance graph schema evolves to accommodate new action types, compliance requirements, and cross-jurisdictional audit needs.</w:t>
      </w:r>
    </w:p>
    <w:p>
      <w:pPr>
        <w:pStyle w:val="Heading2"/>
      </w:pPr>
      <w:r>
        <w:t xml:space="preserve">4.2 Knowledge Graph (BGIN + Members)</w:t>
      </w:r>
    </w:p>
    <w:p>
      <w:pPr>
        <w:spacing w:after="200"/>
      </w:pPr>
      <w:r>
        <w:t xml:space="preserve">The knowledge graph—containing governance documentation, regulatory mappings, incident taxonomies, and response protocols—is built collaboratively by BGIN and its members. This represents the collective intelligence of the network and remains in continuous evolution.</w:t>
      </w:r>
    </w:p>
    <w:p>
      <w:pPr>
        <w:spacing w:after="150"/>
      </w:pPr>
      <w:r>
        <w:rPr>
          <w:b/>
          <w:bCs/>
        </w:rPr>
        <w:t xml:space="preserve">Initial Contribution: </w:t>
      </w:r>
      <w:r>
        <w:t xml:space="preserve">agentprivacy offers the origination of the knowledge graph as an in-kind contribution, providing the foundational schema, initial regulatory mappings, and integration architecture. Other organizations may similarly contribute foundational elements.</w:t>
      </w:r>
    </w:p>
    <w:p>
      <w:pPr>
        <w:spacing w:after="150"/>
      </w:pPr>
      <w:r>
        <w:rPr>
          <w:b/>
          <w:bCs/>
        </w:rPr>
        <w:t xml:space="preserve">Ongoing Contributions: </w:t>
      </w:r>
      <w:r>
        <w:t xml:space="preserve">Between Block milestone junctions (e.g., Block 13 → Block 14 → Block 15), participating organizations contribute knowledge graph enhancements: new regulatory updates, incident patterns, protocol refinements, and cross-jurisdictional mappings.</w:t>
      </w:r>
    </w:p>
    <w:p>
      <w:pPr>
        <w:spacing w:after="200"/>
      </w:pPr>
      <w:r>
        <w:rPr>
          <w:b/>
          <w:bCs/>
        </w:rPr>
        <w:t xml:space="preserve">Block Review Commits: </w:t>
      </w:r>
      <w:r>
        <w:t xml:space="preserve">Contributions are aggregated and committed upon Block reviews (e.g., Block 15 review), creating versioned snapshots of the collective knowledge. This establishes the lifecycle for contribution tracking and subsequent recognition.</w:t>
      </w:r>
    </w:p>
    <w:p>
      <w:pPr>
        <w:pStyle w:val="Heading2"/>
      </w:pPr>
      <w:r>
        <w:t xml:space="preserve">4.3 Why Iterative Foundations Matter</w:t>
      </w:r>
    </w:p>
    <w:p>
      <w:pPr>
        <w:spacing w:after="200"/>
      </w:pPr>
      <w:r>
        <w:t xml:space="preserve">Both the provenance and knowledge graphs are essential inputs to the system, but they are explicitly designed for iteration. This is why we start with governance foundations:</w:t>
      </w:r>
    </w:p>
    <w:p>
      <w:pPr>
        <w:spacing w:after="150"/>
      </w:pPr>
      <w:r>
        <w:rPr>
          <w:b/>
          <w:bCs/>
        </w:rPr>
        <w:t xml:space="preserve">Technical Flexibility: </w:t>
      </w:r>
      <w:r>
        <w:t xml:space="preserve">Graph schemas, query patterns, and storage implementations can evolve without disrupting the governance agreements that depend on them.</w:t>
      </w:r>
    </w:p>
    <w:p>
      <w:pPr>
        <w:spacing w:after="150"/>
      </w:pPr>
      <w:r>
        <w:rPr>
          <w:b/>
          <w:bCs/>
        </w:rPr>
        <w:t xml:space="preserve">Contribution Attribution: </w:t>
      </w:r>
      <w:r>
        <w:t xml:space="preserve">The agreement layer tracks who contributed what, enabling fair recognition even as the underlying data structures change.</w:t>
      </w:r>
    </w:p>
    <w:p>
      <w:pPr>
        <w:spacing w:after="300"/>
      </w:pPr>
      <w:r>
        <w:rPr>
          <w:b/>
          <w:bCs/>
        </w:rPr>
        <w:t xml:space="preserve">Regulatory Adaptation: </w:t>
      </w:r>
      <w:r>
        <w:t xml:space="preserve">As regulations evolve across jurisdictions, the knowledge graph can update while the agreement framework ensures all parties understand and consent to new requirements.</w:t>
      </w:r>
    </w:p>
    <w:p>
      <w:r>
        <w:br w:type="page"/>
      </w:r>
    </w:p>
    <w:p>
      <w:pPr>
        <w:pStyle w:val="Heading1"/>
      </w:pPr>
      <w:r>
        <w:t xml:space="preserve">5. Grant Pathways &amp; Progressive Decentralization</w:t>
      </w:r>
    </w:p>
    <w:p>
      <w:pPr>
        <w:spacing w:after="200"/>
      </w:pPr>
      <w:r>
        <w:t xml:space="preserve">Beyond the core framework development, this collaboration creates significant opportunities for joint grant pursuit and deeper organizational integration. Success in these pathways leads to progressive decentralization of both outcomes and governance authority.</w:t>
      </w:r>
    </w:p>
    <w:p>
      <w:pPr>
        <w:pStyle w:val="Heading2"/>
      </w:pPr>
      <w:r>
        <w:t xml:space="preserve">5.1 Ethereum Foundation Grant Opportunities</w:t>
      </w:r>
    </w:p>
    <w:p>
      <w:pPr>
        <w:spacing w:after="200"/>
      </w:pPr>
      <w:r>
        <w:t xml:space="preserve">The collaboration between BGIN and agentprivacy is well-positioned to pursue Ethereum Foundation grants in two complementary areas:</w:t>
      </w:r>
    </w:p>
    <w:p>
      <w:pPr>
        <w:spacing w:after="150"/>
      </w:pPr>
      <w:r>
        <w:rPr>
          <w:b/>
          <w:bCs/>
        </w:rPr>
        <w:t xml:space="preserve">Privacy Pools Research: </w:t>
      </w:r>
      <w:r>
        <w:t xml:space="preserve">The agentprivacy governance framework directly complements Privacy Pools implementations by providing the agreement layer for association set membership and deposit/withdrawal authorization. Joint research can advance both the cryptographic mechanisms and the governance scaffolding required for compliant, privacy-preserving financial systems.</w:t>
      </w:r>
    </w:p>
    <w:p>
      <w:pPr>
        <w:spacing w:after="200"/>
      </w:pPr>
      <w:r>
        <w:rPr>
          <w:b/>
          <w:bCs/>
        </w:rPr>
        <w:t xml:space="preserve">Privacy Authentication: </w:t>
      </w:r>
      <w:r>
        <w:t xml:space="preserve">Zero-knowledge proof systems for authentication require governance frameworks that define what credentials are accepted, who can issue attestations, and how disputes are resolved. The IEEE 7012 agreement integration provides this governance substrate for privacy-preserving authentication systems.</w:t>
      </w:r>
    </w:p>
    <w:p>
      <w:pPr>
        <w:pStyle w:val="Heading2"/>
      </w:pPr>
      <w:r>
        <w:t xml:space="preserve">5.2 Progressive Decentralization Model</w:t>
      </w:r>
    </w:p>
    <w:p>
      <w:pPr>
        <w:spacing w:after="200"/>
      </w:pPr>
      <w:r>
        <w:t xml:space="preserve">Successful grant outcomes and framework maturation enable progressive decentralization across multiple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8f0f5" w:val="clear"/>
            <w:tcMar>
              <w:top w:type="dxa" w:w="100"/>
              <w:left w:type="dxa" w:w="150"/>
              <w:bottom w:type="dxa" w:w="100"/>
              <w:right w:type="dxa" w:w="150"/>
            </w:tcMar>
          </w:tcPr>
          <w:p>
            <w:r>
              <w:rPr>
                <w:b/>
                <w:bCs/>
              </w:rPr>
              <w:t xml:space="preserve">Dimension</w:t>
            </w:r>
          </w:p>
        </w:tc>
        <w:tc>
          <w:tcPr>
            <w:tcW w:type="dxa" w:w="7020"/>
            <w:tcBorders>
              <w:top w:val="single" w:color="CCCCCC" w:sz="1"/>
              <w:left w:val="single" w:color="CCCCCC" w:sz="1"/>
              <w:bottom w:val="single" w:color="CCCCCC" w:sz="1"/>
              <w:right w:val="single" w:color="CCCCCC" w:sz="1"/>
            </w:tcBorders>
            <w:shd w:fill="e8f0f5" w:val="clear"/>
            <w:tcMar>
              <w:top w:type="dxa" w:w="100"/>
              <w:left w:type="dxa" w:w="150"/>
              <w:bottom w:type="dxa" w:w="100"/>
              <w:right w:type="dxa" w:w="150"/>
            </w:tcMar>
          </w:tcPr>
          <w:p>
            <w:r>
              <w:rPr>
                <w:b/>
                <w:bCs/>
              </w:rPr>
              <w:t xml:space="preserve">Decentralization Pathway</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rPr>
              <w:t xml:space="preserve">Grant Distribution</w:t>
            </w:r>
          </w:p>
        </w:tc>
        <w:tc>
          <w:tcPr>
            <w:tcW w:type="dxa" w:w="70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Initial grants flow through founding organizations (BGIN, agentprivacy), with increasing allocation to sustaining member organizations based on contribution metrics tracked through verifiable credentials.</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rPr>
              <w:t xml:space="preserve">Governance Authority</w:t>
            </w:r>
          </w:p>
        </w:tc>
        <w:tc>
          <w:tcPr>
            <w:tcW w:type="dxa" w:w="70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Decision-making progressively shifts from founding organizations to the Contributor DAO, with voting weight determined by sustained participation and knowledge graph contributions.</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rPr>
              <w:t xml:space="preserve">Individual Contributors</w:t>
            </w:r>
          </w:p>
        </w:tc>
        <w:tc>
          <w:tcPr>
            <w:tcW w:type="dxa" w:w="70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Individual contributors who maintain agreements and permissions within the system accumulate portable credentials that grant access rights and recognition shares, independent of organizational affiliation.</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rPr>
              <w:t xml:space="preserve">Technical Infrastructure</w:t>
            </w:r>
          </w:p>
        </w:tc>
        <w:tc>
          <w:tcPr>
            <w:tcW w:type="dxa" w:w="70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Maintenance and hosting of knowledge graphs, provenance systems, and agent infrastructure progressively distribute across multiple sustaining organizations, reducing single points of failure.</w:t>
            </w:r>
          </w:p>
        </w:tc>
      </w:tr>
    </w:tbl>
    <w:p>
      <w:pPr>
        <w:spacing w:before="200" w:after="200"/>
      </w:pPr>
    </w:p>
    <w:p>
      <w:pPr>
        <w:pStyle w:val="Heading2"/>
      </w:pPr>
      <w:r>
        <w:t xml:space="preserve">5.3 Sustaining Organizations &amp; Individual Access</w:t>
      </w:r>
    </w:p>
    <w:p>
      <w:pPr>
        <w:spacing w:after="300"/>
      </w:pPr>
      <w:r>
        <w:t xml:space="preserve">The progressive decentralization model ensures that both organizations and individuals benefit from sustained participation. Organizations that contribute resources, expertise, or infrastructure become sustaining members with corresponding governance rights and grant allocation eligibility. Individual contributors who maintain agreements and permissions—whether through code contributions, documentation, testing, or governance participation—accumulate credentials that persist across organizational changes. This creates a resilient ecosystem where value accrues to contributors at all levels, not just founding entities.</w:t>
      </w:r>
    </w:p>
    <w:p>
      <w:r>
        <w:br w:type="page"/>
      </w:r>
    </w:p>
    <w:p>
      <w:pPr>
        <w:pStyle w:val="Heading1"/>
      </w:pPr>
      <w:r>
        <w:t xml:space="preserve">6. Foundation ↔ Labs ↔ DAO Sustainability Model</w:t>
      </w:r>
    </w:p>
    <w:p>
      <w:pPr>
        <w:spacing w:after="200"/>
      </w:pPr>
      <w:r>
        <w:t xml:space="preserve">Recognizing that BGIN, as a multi-stakeholder governance initiative, cannot directly compensate participants for project work, this proposal outlines a sustainability model that creates merit-based reciprocity through collaborative outcomes.</w:t>
      </w:r>
    </w:p>
    <w:p>
      <w:pPr>
        <w:pStyle w:val="Heading2"/>
      </w:pPr>
      <w:r>
        <w:t xml:space="preserve">6.1 Collaborative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e8f0f5" w:val="clear"/>
            <w:tcMar>
              <w:top w:type="dxa" w:w="100"/>
              <w:left w:type="dxa" w:w="150"/>
              <w:bottom w:type="dxa" w:w="100"/>
              <w:right w:type="dxa" w:w="150"/>
            </w:tcMar>
          </w:tcPr>
          <w:p>
            <w:r>
              <w:rPr>
                <w:b/>
                <w:bCs/>
              </w:rPr>
              <w:t xml:space="preserve">Entity</w:t>
            </w:r>
          </w:p>
        </w:tc>
        <w:tc>
          <w:tcPr>
            <w:tcW w:type="dxa" w:w="3510"/>
            <w:tcBorders>
              <w:top w:val="single" w:color="CCCCCC" w:sz="1"/>
              <w:left w:val="single" w:color="CCCCCC" w:sz="1"/>
              <w:bottom w:val="single" w:color="CCCCCC" w:sz="1"/>
              <w:right w:val="single" w:color="CCCCCC" w:sz="1"/>
            </w:tcBorders>
            <w:shd w:fill="e8f0f5" w:val="clear"/>
            <w:tcMar>
              <w:top w:type="dxa" w:w="100"/>
              <w:left w:type="dxa" w:w="150"/>
              <w:bottom w:type="dxa" w:w="100"/>
              <w:right w:type="dxa" w:w="150"/>
            </w:tcMar>
          </w:tcPr>
          <w:p>
            <w:r>
              <w:rPr>
                <w:b/>
                <w:bCs/>
              </w:rPr>
              <w:t xml:space="preserve">Role</w:t>
            </w:r>
          </w:p>
        </w:tc>
        <w:tc>
          <w:tcPr>
            <w:tcW w:type="dxa" w:w="3510"/>
            <w:tcBorders>
              <w:top w:val="single" w:color="CCCCCC" w:sz="1"/>
              <w:left w:val="single" w:color="CCCCCC" w:sz="1"/>
              <w:bottom w:val="single" w:color="CCCCCC" w:sz="1"/>
              <w:right w:val="single" w:color="CCCCCC" w:sz="1"/>
            </w:tcBorders>
            <w:shd w:fill="e8f0f5" w:val="clear"/>
            <w:tcMar>
              <w:top w:type="dxa" w:w="100"/>
              <w:left w:type="dxa" w:w="150"/>
              <w:bottom w:type="dxa" w:w="100"/>
              <w:right w:type="dxa" w:w="150"/>
            </w:tcMar>
          </w:tcPr>
          <w:p>
            <w:r>
              <w:rPr>
                <w:b/>
                <w:bCs/>
              </w:rPr>
              <w:t xml:space="preserve">Value Flow</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rPr>
              <w:t xml:space="preserve">BGIN (Foundation)</w:t>
            </w:r>
          </w:p>
        </w:tc>
        <w:tc>
          <w:tcPr>
            <w:tcW w:type="dxa" w:w="351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Governance, standards, convening, legitimacy</w:t>
            </w:r>
          </w:p>
        </w:tc>
        <w:tc>
          <w:tcPr>
            <w:tcW w:type="dxa" w:w="351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Receives contribution-based recognition; provides membership network effects</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rPr>
              <w:t xml:space="preserve">agentprivacy Labs</w:t>
            </w:r>
          </w:p>
        </w:tc>
        <w:tc>
          <w:tcPr>
            <w:tcW w:type="dxa" w:w="351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Development, maintenance, commercialization</w:t>
            </w:r>
          </w:p>
        </w:tc>
        <w:tc>
          <w:tcPr>
            <w:tcW w:type="dxa" w:w="351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Revenue from enterprise implementations; funds continued open-source development</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rPr>
              <w:t xml:space="preserve">Contributor DAO</w:t>
            </w:r>
          </w:p>
        </w:tc>
        <w:tc>
          <w:tcPr>
            <w:tcW w:type="dxa" w:w="351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Merit tracking, contribution recognition, governance</w:t>
            </w:r>
          </w:p>
        </w:tc>
        <w:tc>
          <w:tcPr>
            <w:tcW w:type="dxa" w:w="351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Tracks contributions via verifiable credentials; enables participant ownership</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rPr>
              <w:t xml:space="preserve">Sustaining Orgs</w:t>
            </w:r>
          </w:p>
        </w:tc>
        <w:tc>
          <w:tcPr>
            <w:tcW w:type="dxa" w:w="351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Infrastructure, expertise, regional presence</w:t>
            </w:r>
          </w:p>
        </w:tc>
        <w:tc>
          <w:tcPr>
            <w:tcW w:type="dxa" w:w="351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Eligible for grant distribution; governance participation; network effects</w:t>
            </w:r>
          </w:p>
        </w:tc>
      </w:tr>
    </w:tbl>
    <w:p>
      <w:pPr>
        <w:spacing w:before="200" w:after="200"/>
      </w:pPr>
    </w:p>
    <w:p>
      <w:pPr>
        <w:pStyle w:val="Heading2"/>
      </w:pPr>
      <w:r>
        <w:t xml:space="preserve">6.2 Contribution Recognition Mechanics</w:t>
      </w:r>
    </w:p>
    <w:p>
      <w:pPr>
        <w:spacing w:after="200"/>
      </w:pPr>
      <w:r>
        <w:t xml:space="preserve">When technologies developed through this collaboration generate commercial value, a contribution recognition and revenue sharing mechanism will apply. The participating roles include:</w:t>
      </w:r>
    </w:p>
    <w:p>
      <w:pPr>
        <w:spacing w:after="150"/>
      </w:pPr>
      <w:r>
        <w:rPr>
          <w:b/>
          <w:bCs/>
        </w:rPr>
        <w:t xml:space="preserve">Open Source Foundation: </w:t>
      </w:r>
      <w:r>
        <w:t xml:space="preserve">Allocation for continued development of core public goods, managed transparently through the Contributor DAO.</w:t>
      </w:r>
    </w:p>
    <w:p>
      <w:pPr>
        <w:spacing w:after="150"/>
      </w:pPr>
      <w:r>
        <w:rPr>
          <w:b/>
          <w:bCs/>
        </w:rPr>
        <w:t xml:space="preserve">Labs Operations: </w:t>
      </w:r>
      <w:r>
        <w:t xml:space="preserve">Allocation to sustain the commercial entity providing enterprise support, custom implementations, and ongoing maintenance.</w:t>
      </w:r>
    </w:p>
    <w:p>
      <w:pPr>
        <w:spacing w:after="150"/>
      </w:pPr>
      <w:r>
        <w:rPr>
          <w:b/>
          <w:bCs/>
        </w:rPr>
        <w:t xml:space="preserve">Contributor Pool: </w:t>
      </w:r>
      <w:r>
        <w:t xml:space="preserve">Allocation distributed to contributors based on merit-weighted participation in development, documentation, testing, and governance.</w:t>
      </w:r>
    </w:p>
    <w:p>
      <w:pPr>
        <w:spacing w:after="150"/>
      </w:pPr>
      <w:r>
        <w:rPr>
          <w:b/>
          <w:bCs/>
        </w:rPr>
        <w:t xml:space="preserve">Sustaining Organizations: </w:t>
      </w:r>
      <w:r>
        <w:t xml:space="preserve">Allocation to organizations that provide ongoing infrastructure, regional expertise, or specialized capabilities to the network.</w:t>
      </w:r>
    </w:p>
    <w:p>
      <w:pPr>
        <w:pBdr>
          <w:left w:val="single" w:color="d4a017" w:sz="24"/>
        </w:pBdr>
        <w:shd w:fill="fff8e6" w:val="clear"/>
        <w:spacing w:after="200"/>
      </w:pPr>
      <w:r>
        <w:t xml:space="preserve">  </w:t>
      </w:r>
      <w:r>
        <w:rPr>
          <w:b/>
          <w:bCs/>
        </w:rPr>
        <w:t xml:space="preserve">Note: </w:t>
      </w:r>
      <w:r>
        <w:t xml:space="preserve">Specific allocation percentages and distribution mechanics are proposed for discussion at the BGIN Steering Committee during Block 14. This allows stakeholder input on fair value distribution before formalizing the agreement.</w:t>
      </w:r>
    </w:p>
    <w:p>
      <w:pPr>
        <w:pStyle w:val="Heading2"/>
      </w:pPr>
      <w:r>
        <w:t xml:space="preserve">6.3 Block-Aligned Contribution Lifecycle</w:t>
      </w:r>
    </w:p>
    <w:p>
      <w:pPr>
        <w:spacing w:after="200"/>
      </w:pPr>
      <w:r>
        <w:t xml:space="preserve">Contributions follow the BGIN Block cadence, creating a natural lifecycle for recognition: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8f0f5" w:val="clear"/>
            <w:tcMar>
              <w:top w:type="dxa" w:w="100"/>
              <w:left w:type="dxa" w:w="150"/>
              <w:bottom w:type="dxa" w:w="100"/>
              <w:right w:type="dxa" w:w="150"/>
            </w:tcMar>
          </w:tcPr>
          <w:p>
            <w:r>
              <w:rPr>
                <w:b/>
                <w:bCs/>
              </w:rPr>
              <w:t xml:space="preserve">Phase</w:t>
            </w:r>
          </w:p>
        </w:tc>
        <w:tc>
          <w:tcPr>
            <w:tcW w:type="dxa" w:w="7020"/>
            <w:tcBorders>
              <w:top w:val="single" w:color="CCCCCC" w:sz="1"/>
              <w:left w:val="single" w:color="CCCCCC" w:sz="1"/>
              <w:bottom w:val="single" w:color="CCCCCC" w:sz="1"/>
              <w:right w:val="single" w:color="CCCCCC" w:sz="1"/>
            </w:tcBorders>
            <w:shd w:fill="e8f0f5" w:val="clear"/>
            <w:tcMar>
              <w:top w:type="dxa" w:w="100"/>
              <w:left w:type="dxa" w:w="150"/>
              <w:bottom w:type="dxa" w:w="100"/>
              <w:right w:type="dxa" w:w="150"/>
            </w:tcMar>
          </w:tcPr>
          <w:p>
            <w:r>
              <w:rPr>
                <w:b/>
                <w:bCs/>
              </w:rPr>
              <w:t xml:space="preserve">Activity</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rPr>
              <w:t xml:space="preserve">Block N</w:t>
            </w:r>
          </w:p>
        </w:tc>
        <w:tc>
          <w:tcPr>
            <w:tcW w:type="dxa" w:w="70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Contribution window opens; organizations submit knowledge graph updates, code, documentation</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rPr>
              <w:t xml:space="preserve">Inter-Block Period</w:t>
            </w:r>
          </w:p>
        </w:tc>
        <w:tc>
          <w:tcPr>
            <w:tcW w:type="dxa" w:w="70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Contributions aggregated; peer review; integration testing; credential issuance for verified contributions</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rPr>
              <w:t xml:space="preserve">Block N+1 Review</w:t>
            </w:r>
          </w:p>
        </w:tc>
        <w:tc>
          <w:tcPr>
            <w:tcW w:type="dxa" w:w="70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Contributions committed to versioned knowledge graph; contribution metrics finalized; recognition distributed</w:t>
            </w:r>
          </w:p>
        </w:tc>
      </w:tr>
    </w:tbl>
    <w:p>
      <w:pPr>
        <w:spacing w:before="200" w:after="200"/>
      </w:pPr>
    </w:p>
    <w:p>
      <w:pPr>
        <w:pStyle w:val="Heading2"/>
      </w:pPr>
      <w:r>
        <w:t xml:space="preserve">6.4 Contribution Tracking</w:t>
      </w:r>
    </w:p>
    <w:p>
      <w:pPr>
        <w:spacing w:after="300"/>
      </w:pPr>
      <w:r>
        <w:t xml:space="preserve">Contributions are tracked through verifiable credentials issued for: code commits and reviews, documentation and specification writing, testing and security audits, governance participation in working groups, knowledge graph contributions (regulatory mappings, incident taxonomies, protocol updates), community engagement and standards body representation, and infrastructure provision by sustaining organizations. These credentials accumulate into reputation scores that determine recognition allocation, creating sustainable incentives for ongoing participation without requiring BGIN to directly compensate contributors.</w:t>
      </w:r>
    </w:p>
    <w:p>
      <w:r>
        <w:br w:type="page"/>
      </w:r>
    </w:p>
    <w:p>
      <w:pPr>
        <w:pStyle w:val="Heading1"/>
      </w:pPr>
      <w:r>
        <w:t xml:space="preserve">7. Implementation Pathway</w:t>
      </w:r>
    </w:p>
    <w:p>
      <w:pPr>
        <w:pStyle w:val="Heading2"/>
      </w:pPr>
      <w:r>
        <w:t xml:space="preserve">Phase 1: Case Study Development (Block 13 → Block 14)</w:t>
      </w:r>
    </w:p>
    <w:p>
      <w:pPr>
        <w:spacing w:after="150"/>
      </w:pPr>
      <w:r>
        <w:t xml:space="preserve">Build and deploy the Incident Response Agent within the BGIN IKMG Working Group. Implement SD-BASE agreements on BGIN infrastructure as proof of concept. agentprivacy delivers initial knowledge graph as in-kind contribution. Demonstrate the framework's capability for sensitive information sharing between member organizations.</w:t>
      </w:r>
    </w:p>
    <w:p>
      <w:pPr>
        <w:pStyle w:val="Heading2"/>
      </w:pPr>
      <w:r>
        <w:t xml:space="preserve">Phase 2: Standards Integration &amp; Grant Preparation (Block 14 → Block 15)</w:t>
      </w:r>
    </w:p>
    <w:p>
      <w:pPr>
        <w:spacing w:after="150"/>
      </w:pPr>
      <w:r>
        <w:t xml:space="preserve">Draft specifications for IEEE 7012 integration with agentic systems, covering both SD-BASE relationship agreements and PDC contribution agreements. Present findings to relevant standards bodies. Begin preparation of joint Ethereum Foundation grant applications for Privacy Pools and privacy authentication research. Aggregate inter-Block contributions for Block 15 review and commit.</w:t>
      </w:r>
    </w:p>
    <w:p>
      <w:pPr>
        <w:pStyle w:val="Heading2"/>
      </w:pPr>
      <w:r>
        <w:t xml:space="preserve">Phase 3: Grant Applications &amp; Ecosystem Expansion (Q3-Q4 2026)</w:t>
      </w:r>
    </w:p>
    <w:p>
      <w:pPr>
        <w:spacing w:after="150"/>
      </w:pPr>
      <w:r>
        <w:t xml:space="preserve">Submit collaborative grant proposals to organizations including: Ethereum Foundation (Privacy Pools, privacy authentication), Protocol Labs (decentralized infrastructure), World Foundation (proof of humanity integration), and relevant government research programs (US NSF, Japan JST). Begin onboarding sustaining organizations.</w:t>
      </w:r>
    </w:p>
    <w:p>
      <w:pPr>
        <w:pStyle w:val="Heading2"/>
      </w:pPr>
      <w:r>
        <w:t xml:space="preserve">Phase 4: Labs Formation &amp; Progressive Decentralization (2027)</w:t>
      </w:r>
    </w:p>
    <w:p>
      <w:pPr>
        <w:spacing w:after="300"/>
      </w:pPr>
      <w:r>
        <w:t xml:space="preserve">Establish formal Labs entity if commercial interest warrants, with governance structure and contribution recognition mechanisms as outlined in Section 6. Begin progressive decentralization of grant distribution and governance authority to sustaining organizations and individual contributors based on accumulated credentials and participation metrics.</w:t>
      </w:r>
    </w:p>
    <w:p>
      <w:pPr>
        <w:pStyle w:val="Heading1"/>
      </w:pPr>
      <w:r>
        <w:t xml:space="preserve">8. Proposal Terms</w:t>
      </w:r>
    </w:p>
    <w:p>
      <w:pPr>
        <w:spacing w:after="200"/>
      </w:pPr>
      <w:r>
        <w:t xml:space="preserve">This proposal requests:</w:t>
      </w:r>
    </w:p>
    <w:p>
      <w:pPr>
        <w:spacing w:after="150"/>
      </w:pPr>
      <w:r>
        <w:rPr>
          <w:b/>
          <w:bCs/>
        </w:rPr>
        <w:t xml:space="preserve">From BGIN: </w:t>
      </w:r>
      <w:r>
        <w:t xml:space="preserve">Working group participation venue, membership network access for case study collaboration, infrastructure for SD-BASE agreement deployment, standards body coordination, and recognition of contributions through existing governance mechanisms.</w:t>
      </w:r>
    </w:p>
    <w:p>
      <w:pPr>
        <w:spacing w:after="150"/>
      </w:pPr>
      <w:r>
        <w:rPr>
          <w:b/>
          <w:bCs/>
        </w:rPr>
        <w:t xml:space="preserve">From agentprivacy: </w:t>
      </w:r>
      <w:r>
        <w:t xml:space="preserve">Technical development of the Incident Response Agent, IEEE 7012 integration specifications (both SD-BASE and PDC variants), initial knowledge graph origination as in-kind contribution, framework documentation, and commitment to open-source delivery of all collaborative outputs.</w:t>
      </w:r>
    </w:p>
    <w:p>
      <w:pPr>
        <w:spacing w:after="150"/>
      </w:pPr>
      <w:r>
        <w:rPr>
          <w:b/>
          <w:bCs/>
        </w:rPr>
        <w:t xml:space="preserve">From NEC/Cybersmart: </w:t>
      </w:r>
      <w:r>
        <w:t xml:space="preserve">Provenance graph infrastructure contribution for verifiable audit trails and compliance documentation.</w:t>
      </w:r>
    </w:p>
    <w:p>
      <w:pPr>
        <w:spacing w:after="300"/>
      </w:pPr>
      <w:r>
        <w:rPr>
          <w:b/>
          <w:bCs/>
        </w:rPr>
        <w:t xml:space="preserve">Mutual Commitment: </w:t>
      </w:r>
      <w:r>
        <w:t xml:space="preserve">Joint pursuit of collaborative grants (particularly Ethereum Foundation Privacy Pools and privacy authentication), shared authorship on standards contributions, Block-aligned contribution tracking, and good-faith negotiation of Labs formation and progressive decentralization terms—with revenue sharing mechanics to be discussed at Block 14 Steering Committee.</w:t>
      </w:r>
    </w:p>
    <w:p>
      <w:r>
        <w:br w:type="page"/>
      </w:r>
    </w:p>
    <w:p>
      <w:pPr>
        <w:pStyle w:val="Heading1"/>
      </w:pPr>
      <w:r>
        <w:t xml:space="preserve">Appendix A: Steering Committee Brief</w:t>
      </w:r>
    </w:p>
    <w:p>
      <w:pPr>
        <w:spacing w:after="100"/>
      </w:pPr>
      <w:r>
        <w:rPr>
          <w:i/>
          <w:iCs/>
          <w:color w:val="666666"/>
        </w:rPr>
        <w:t xml:space="preserve">Proposed Framework Updates for AI Agent Collaboration</w:t>
      </w:r>
    </w:p>
    <w:p>
      <w:pPr>
        <w:pBdr>
          <w:left w:val="single" w:color="3d5a80" w:sz="24"/>
        </w:pBdr>
        <w:shd w:fill="f5f8fa" w:val="clear"/>
        <w:spacing w:after="300"/>
      </w:pPr>
      <w:r>
        <w:t xml:space="preserve">  </w:t>
      </w:r>
      <w:r>
        <w:t xml:space="preserve">As BGIN develops AI-powered tools for governance documentation and incident response, we propose introducing IEEE 7012 agreements as our permission framework. Importantly, agentprivacy is not a wallet system—it is a governance framework and living documentation for agentic learning, existing in its own category. This is why we start with the agreement layer (SD-BASE/SD-BASE-DP for ongoing relationships, PDC-AI/PDC-GOOD/PDC-INTENT for specific contributions), then allow wallet systems to layer on top. The technical foundation combines provenance graph infrastructure from NEC/Cybersmart with a knowledge graph built collaboratively by BGIN members—both designed to be iterative. agentprivacy offers initial knowledge graph origination as an in-kind contribution. This Block-aligned contribution lifecycle (contribute → aggregate → commit at Block review) enables continuous improvement while maintaining transparent contribution tracking. The collaboration also creates pathways for joint Ethereum Foundation grants in Privacy Pools and privacy authentication, leading to progressive decentralization of both grant distribution and governance authority to sustaining organizations and individual contributors. Specific revenue sharing mechanics are proposed for discussion at Block 14 Steering Committee.</w:t>
      </w:r>
    </w:p>
    <w:p>
      <w:pPr>
        <w:pStyle w:val="Heading1"/>
      </w:pPr>
      <w:r>
        <w:t xml:space="preserve">Appendix B: Sponsor Engagement Language</w:t>
      </w:r>
    </w:p>
    <w:p>
      <w:pPr>
        <w:spacing w:after="100"/>
      </w:pPr>
      <w:r>
        <w:rPr>
          <w:i/>
          <w:iCs/>
          <w:color w:val="666666"/>
        </w:rPr>
        <w:t xml:space="preserve">For Sustaining Sponsor Communications (e.g., World Foundation)</w:t>
      </w:r>
    </w:p>
    <w:p>
      <w:pPr>
        <w:pBdr>
          <w:left w:val="single" w:color="3d5a80" w:sz="24"/>
        </w:pBdr>
        <w:shd w:fill="f5f8fa" w:val="clear"/>
      </w:pPr>
      <w:r>
        <w:t xml:space="preserve">  </w:t>
      </w:r>
      <w:r>
        <w:t xml:space="preserve">BGIN's governance documentation and incident response initiatives are building agentic systems with proof-of-humanity verification and IEEE 7012 data agreements at their foundation—ensuring human accountability remains central to AI agent networks. Sponsoring this work provides direct reciprocity: your verification infrastructure becomes the identity layer for privacy-preserving governance agents, while collaborative standards development creates interoperable frameworks that expand ecosystem adoption. Our framework provides the governance substrate upon which wallet systems layer, creating the legal and technical scaffolding for sustainable data dignity at scale. Joint pursuit of Ethereum Foundation grants in Privacy Pools and privacy authentication creates additional value—successful outcomes progressively decentralize to sustaining organizations and individual contributors who maintain agreements within the system. This is public goods development where contribution generates compounding returns through network effects.</w:t>
      </w:r>
    </w:p>
    <w:p>
      <w:pPr>
        <w:spacing w:before="600"/>
      </w:pPr>
    </w:p>
    <w:p>
      <w:pPr>
        <w:jc w:val="center"/>
      </w:pPr>
      <w:r>
        <w:rPr>
          <w:i/>
          <w:iCs/>
          <w:color w:val="999999"/>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BGIN × agentprivacy Collaboration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d4a6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2026-01-27T15:37:37.970Z</dcterms:created>
  <dcterms:modified xsi:type="dcterms:W3CDTF">2026-01-27T15:37:37.971Z</dcterms:modified>
</cp:coreProperties>
</file>

<file path=docProps/custom.xml><?xml version="1.0" encoding="utf-8"?>
<Properties xmlns="http://schemas.openxmlformats.org/officeDocument/2006/custom-properties" xmlns:vt="http://schemas.openxmlformats.org/officeDocument/2006/docPropsVTypes"/>
</file>