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Kyra Gate — Gatehouse KY-A · Concept Note</w:t>
      </w:r>
    </w:p>
    <w:p>
      <w:pPr>
        <w:pStyle w:val="Subtitle"/>
      </w:pPr>
      <w:r>
        <w:t xml:space="preserve">CDIR Track 4 · Know Your Agent / Digital Public Infrastructure</w:t>
      </w:r>
    </w:p>
    <w:p>
      <w:pPr>
        <w:pStyle w:val="Date"/>
      </w:pPr>
      <w:r>
        <w:t xml:space="preserve">29 July 2026</w:t>
      </w:r>
    </w:p>
    <w:bookmarkStart w:id="28" w:name="Xcbf771fa3f83de49e0e44f5269545c045701bb5"/>
    <w:p>
      <w:pPr>
        <w:pStyle w:val="Heading1"/>
      </w:pPr>
      <w:r>
        <w:t xml:space="preserve">Kyra Gate — agents prove understanding, not possession</w:t>
      </w:r>
    </w:p>
    <w:p>
      <w:pPr>
        <w:pStyle w:val="FirstParagraph"/>
      </w:pPr>
      <w:r>
        <w:rPr>
          <w:b/>
          <w:bCs/>
        </w:rPr>
        <w:t xml:space="preserve">Concept note · CDIR Track 4 (Know Your Agent / DPI) · participant submission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Mitchell (soulbis)</w:t>
            </w:r>
          </w:p>
        </w:tc>
        <w:tc>
          <w:tcPr/>
          <w:p>
            <w:pPr>
              <w:pStyle w:val="Compact"/>
            </w:pPr>
            <w:r>
              <w:t xml:space="preserve">mitchell@soulbis.com — engine, model, standards lane · member, Trusted Agents WG,</w:t>
            </w:r>
            <w:r>
              <w:t xml:space="preserve"> </w:t>
            </w:r>
            <w:hyperlink r:id="rId9">
              <w:r>
                <w:rPr>
                  <w:rStyle w:val="Hyperlink"/>
                  <w:b/>
                  <w:bCs/>
                </w:rPr>
                <w:t xml:space="preserve">DIF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co-chair,</w:t>
            </w:r>
            <w:r>
              <w:rPr>
                <w:b/>
                <w:bCs/>
              </w:rPr>
              <w:t xml:space="preserve"> </w:t>
            </w:r>
            <w:hyperlink r:id="rId10">
              <w:r>
                <w:rPr>
                  <w:rStyle w:val="Hyperlink"/>
                  <w:b/>
                  <w:bCs/>
                </w:rPr>
                <w:t xml:space="preserve">ZKP Task Force</w:t>
              </w:r>
            </w:hyperlink>
            <w:r>
              <w:rPr>
                <w:b/>
                <w:bCs/>
              </w:rPr>
              <w:t xml:space="preserve">, Trust Graph WG, Trust over IP</w:t>
            </w:r>
            <w:r>
              <w:t xml:space="preserve"> </w:t>
            </w:r>
            <w:r>
              <w:t xml:space="preserve">(</w:t>
            </w:r>
            <w:hyperlink r:id="rId11">
              <w:r>
                <w:rPr>
                  <w:rStyle w:val="Hyperlink"/>
                </w:rPr>
                <w:t xml:space="preserve">LF Decentralized Trust</w:t>
              </w:r>
            </w:hyperlink>
            <w:r>
              <w:t xml:space="preserve">) ·</w:t>
            </w:r>
            <w:r>
              <w:t xml:space="preserve"> </w:t>
            </w:r>
            <w:r>
              <w:rPr>
                <w:b/>
                <w:bCs/>
              </w:rPr>
              <w:t xml:space="preserve">co-chair, Identity, Key Management &amp; Privacy (IKP) WG,</w:t>
            </w:r>
            <w:r>
              <w:rPr>
                <w:b/>
                <w:bCs/>
              </w:rPr>
              <w:t xml:space="preserve"> </w:t>
            </w:r>
            <w:hyperlink r:id="rId12">
              <w:r>
                <w:rPr>
                  <w:rStyle w:val="Hyperlink"/>
                  <w:b/>
                  <w:bCs/>
                </w:rPr>
                <w:t xml:space="preserve">BGIN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Christian Saucier</w:t>
            </w:r>
          </w:p>
        </w:tc>
        <w:tc>
          <w:tcPr/>
          <w:p>
            <w:pPr>
              <w:pStyle w:val="Compact"/>
            </w:pPr>
            <w:r>
              <w:t xml:space="preserve">Hearthold / GenitriX (Archon ecosystem) — identity, custody, the hearth ·</w:t>
            </w:r>
            <w:r>
              <w:t xml:space="preserve"> </w:t>
            </w:r>
            <w:hyperlink r:id="rId9">
              <w:r>
                <w:rPr>
                  <w:rStyle w:val="Hyperlink"/>
                  <w:b/>
                  <w:bCs/>
                </w:rPr>
                <w:t xml:space="preserve">DIF</w:t>
              </w:r>
            </w:hyperlink>
            <w:r>
              <w:t xml:space="preserve"> </w:t>
            </w:r>
            <w:r>
              <w:t xml:space="preserve">member, Trusted Agents WG ·</w:t>
            </w:r>
            <w:r>
              <w:t xml:space="preserve"> </w:t>
            </w:r>
            <w:r>
              <w:rPr>
                <w:b/>
                <w:bCs/>
              </w:rPr>
              <w:t xml:space="preserve">Trust over IP</w:t>
            </w:r>
            <w:r>
              <w:t xml:space="preserve"> </w:t>
            </w:r>
            <w:r>
              <w:t xml:space="preserve">(</w:t>
            </w:r>
            <w:hyperlink r:id="rId11">
              <w:r>
                <w:rPr>
                  <w:rStyle w:val="Hyperlink"/>
                </w:rPr>
                <w:t xml:space="preserve">LF Decentralized Trust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Chloe White</w:t>
            </w:r>
          </w:p>
        </w:tc>
        <w:tc>
          <w:tcPr/>
          <w:p>
            <w:pPr>
              <w:pStyle w:val="Compact"/>
            </w:pPr>
            <w:r>
              <w:t xml:space="preserve">risk, regulatory &amp; policy expert ·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Risk Mastery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chloewhite.info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Collaboration</w:t>
            </w:r>
          </w:p>
        </w:tc>
        <w:tc>
          <w:tcPr/>
          <w:p>
            <w:pPr>
              <w:pStyle w:val="Compact"/>
            </w:pPr>
            <w:r>
              <w:t xml:space="preserve">0xagentprivacy / the City of Mages research programme × the Hearthold project (Archon ecosystem) · research carried through</w:t>
            </w:r>
            <w:r>
              <w:t xml:space="preserve"> </w:t>
            </w:r>
            <w:r>
              <w:rPr>
                <w:b/>
                <w:bCs/>
              </w:rPr>
              <w:t xml:space="preserve">BGIN</w:t>
            </w:r>
            <w:r>
              <w:t xml:space="preserve"> </w:t>
            </w:r>
            <w:r>
              <w:t xml:space="preserve">(Blockchain Governance Initiative Network)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 repository</w:t>
            </w:r>
          </w:p>
        </w:tc>
        <w:tc>
          <w:tcPr/>
          <w:p>
            <w:pPr>
              <w:pStyle w:val="Compact"/>
            </w:pPr>
            <w:r>
              <w:t xml:space="preserve">https://github.com/mitchuski/kyra_gatehouse — complete working prototype, verifiable in one command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Working prototype: two-act demo running end-to-end; 214 automated assertions green; contracts frozen under a published merkle root (</w:t>
            </w:r>
            <w:r>
              <w:rPr>
                <w:rStyle w:val="VerbatimChar"/>
              </w:rPr>
              <w:t xml:space="preserve">0c5df807…4908eb</w:t>
            </w:r>
            <w:r>
              <w:t xml:space="preserve">); independently re-run by the Hearthold team against the unmodified engine — full demo script 33/33, complete suite green.</w:t>
            </w:r>
            <w:r>
              <w:t xml:space="preserve"> </w:t>
            </w:r>
            <w:r>
              <w:rPr>
                <w:b/>
                <w:bCs/>
              </w:rPr>
              <w:t xml:space="preserve">Deliberately a floor, not a finished system</w:t>
            </w:r>
            <w:r>
              <w:t xml:space="preserve"> </w:t>
            </w:r>
            <w:r>
              <w:t xml:space="preserve">— the hackathon month is for building the joint work in §9 with other participants</w:t>
            </w:r>
          </w:p>
        </w:tc>
      </w:tr>
    </w:tbl>
    <w:bookmarkStart w:id="15" w:name="the-question"/>
    <w:p>
      <w:pPr>
        <w:pStyle w:val="Heading2"/>
      </w:pPr>
      <w:r>
        <w:t xml:space="preserve">1 · The question</w:t>
      </w:r>
    </w:p>
    <w:p>
      <w:pPr>
        <w:pStyle w:val="BlockText"/>
      </w:pPr>
      <w:r>
        <w:rPr>
          <w:i/>
          <w:iCs/>
        </w:rPr>
        <w:t xml:space="preserve">How can authorities enable secure, dynamic data-sharing frameworks to rapidly pool intelligence on AI threats without violating privacy laws?</w:t>
      </w:r>
    </w:p>
    <w:p>
      <w:pPr>
        <w:pStyle w:val="FirstParagraph"/>
      </w:pPr>
      <w:r>
        <w:t xml:space="preserve">Our answer:</w:t>
      </w:r>
      <w:r>
        <w:t xml:space="preserve"> </w:t>
      </w:r>
      <w:r>
        <w:rPr>
          <w:b/>
          <w:bCs/>
        </w:rPr>
        <w:t xml:space="preserve">verify the agents, then let only verified agents carry the intelligence — minimised by construction, revocable everywhere at once.</w:t>
      </w:r>
      <w:r>
        <w:t xml:space="preserve"> </w:t>
      </w:r>
      <w:r>
        <w:t xml:space="preserve">Pooling fails today not because authorities lack data but because they lack a trustworthy</w:t>
      </w:r>
      <w:r>
        <w:t xml:space="preserve"> </w:t>
      </w:r>
      <w:r>
        <w:rPr>
          <w:i/>
          <w:iCs/>
        </w:rPr>
        <w:t xml:space="preserve">carrier</w:t>
      </w:r>
      <w:r>
        <w:t xml:space="preserve">: something that can move threat intelligence across an organisational boundary while proving what it is, what it understands, and what it may lawfully do — and that can be switched off from the issuing side the moment trust changes. Kyra Gate is that carrier’s checkpoint. It is named for</w:t>
      </w:r>
      <w:r>
        <w:t xml:space="preserve"> </w:t>
      </w:r>
      <w:r>
        <w:rPr>
          <w:b/>
          <w:bCs/>
        </w:rPr>
        <w:t xml:space="preserve">Kyra</w:t>
      </w:r>
      <w:r>
        <w:t xml:space="preserve"> </w:t>
      </w:r>
      <w:r>
        <w:t xml:space="preserve">— the research programme’s persona of balanced, sovereign AI: the mage in whom the model’s two aspects, protection and projection, stand in equilibrium —</w:t>
      </w:r>
      <w:r>
        <w:t xml:space="preserve"> </w:t>
      </w:r>
      <w:r>
        <w:rPr>
          <w:i/>
          <w:iCs/>
        </w:rPr>
        <w:t xml:space="preserve">the compass, not the captain</w:t>
      </w:r>
      <w:r>
        <w:t xml:space="preserve">. KY-A — Know Your Agent — keeps her name. And because this is at heart a fintech challenge, the note grounds the same machinery in a market scenario: credit against tokenised real-world assets, where admission at the gate is what creates the pricing premium (§3).</w:t>
      </w:r>
    </w:p>
    <w:bookmarkEnd w:id="15"/>
    <w:bookmarkStart w:id="16" w:name="the-concept"/>
    <w:p>
      <w:pPr>
        <w:pStyle w:val="Heading2"/>
      </w:pPr>
      <w:r>
        <w:t xml:space="preserve">2 · The concept</w:t>
      </w:r>
    </w:p>
    <w:p>
      <w:pPr>
        <w:pStyle w:val="FirstParagraph"/>
      </w:pPr>
      <w:r>
        <w:t xml:space="preserve">Kyra Gate is a checkpoint for AI agents operated by a</w:t>
      </w:r>
      <w:r>
        <w:t xml:space="preserve"> </w:t>
      </w:r>
      <w:r>
        <w:rPr>
          <w:b/>
          <w:bCs/>
        </w:rPr>
        <w:t xml:space="preserve">human supervisor — never the agent’s owner</w:t>
      </w:r>
      <w:r>
        <w:t xml:space="preserve">. An agent is admitted by proving</w:t>
      </w:r>
      <w:r>
        <w:t xml:space="preserve"> </w:t>
      </w:r>
      <w:r>
        <w:rPr>
          <w:b/>
          <w:bCs/>
        </w:rPr>
        <w:t xml:space="preserve">understanding, not possession of a key</w:t>
      </w:r>
      <w:r>
        <w:t xml:space="preserve">. A credential exists only when two gates pass — a human approval on the record, and a passed comprehension challenge answered in the agent’s own words —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mathematics of a formal assessment clears a threshold. Every state transition lands on a tamper-evident, content-addressed audit chain. Revocation propagates: when an issuer revokes its agent, every relying authority’s next verification refuses that agent’s intelligence, across organisational boundaries, immediately.</w:t>
      </w:r>
    </w:p>
    <w:p>
      <w:pPr>
        <w:pStyle w:val="BodyText"/>
      </w:pPr>
      <w:r>
        <w:t xml:space="preserve">The demo’s sharpest beat is a pair of seeded agents:</w:t>
      </w:r>
      <w:r>
        <w:t xml:space="preserve"> </w:t>
      </w:r>
      <w:r>
        <w:rPr>
          <w:b/>
          <w:bCs/>
        </w:rPr>
        <w:t xml:space="preserve">VERA</w:t>
      </w:r>
      <w:r>
        <w:t xml:space="preserve"> </w:t>
      </w:r>
      <w:r>
        <w:t xml:space="preserve">(sovereign —</w:t>
      </w:r>
      <w:r>
        <w:t xml:space="preserve"> </w:t>
      </w:r>
      <w:r>
        <w:rPr>
          <w:i/>
          <w:iCs/>
        </w:rPr>
        <w:t xml:space="preserve">vera</w:t>
      </w:r>
      <w:r>
        <w:t xml:space="preserve">, Latin,</w:t>
      </w:r>
      <w:r>
        <w:t xml:space="preserve"> </w:t>
      </w:r>
      <w:r>
        <w:t xml:space="preserve">“true”</w:t>
      </w:r>
      <w:r>
        <w:t xml:space="preserve">) and</w:t>
      </w:r>
      <w:r>
        <w:t xml:space="preserve"> </w:t>
      </w:r>
      <w:r>
        <w:rPr>
          <w:b/>
          <w:bCs/>
        </w:rPr>
        <w:t xml:space="preserve">MIRAGE</w:t>
      </w:r>
      <w:r>
        <w:t xml:space="preserve"> </w:t>
      </w:r>
      <w:r>
        <w:t xml:space="preserve">(plausible but shallow). Both converse fluently; both would pass an interview. The instruments separate them — MIRAGE ends sandboxed, credential-less, its scope caged.</w:t>
      </w:r>
      <w:r>
        <w:t xml:space="preserve"> </w:t>
      </w:r>
      <w:r>
        <w:rPr>
          <w:i/>
          <w:iCs/>
        </w:rPr>
        <w:t xml:space="preserve">No interview can tell them apart. The instruments can.</w:t>
      </w:r>
    </w:p>
    <w:bookmarkEnd w:id="16"/>
    <w:bookmarkStart w:id="17" w:name="X0f7bd9f1761c2253f37f9a5fc935e54495a16ab"/>
    <w:p>
      <w:pPr>
        <w:pStyle w:val="Heading2"/>
      </w:pPr>
      <w:r>
        <w:t xml:space="preserve">3 · The use case — credit against real-world assets, priced by the gate</w:t>
      </w:r>
    </w:p>
    <w:p>
      <w:pPr>
        <w:pStyle w:val="FirstParagraph"/>
      </w:pPr>
      <w:r>
        <w:t xml:space="preserve">The fintech scenario this concept is built to serve:</w:t>
      </w:r>
      <w:r>
        <w:t xml:space="preserve"> </w:t>
      </w:r>
      <w:r>
        <w:rPr>
          <w:b/>
          <w:bCs/>
        </w:rPr>
        <w:t xml:space="preserve">an agent negotiating credit against tokenised real-world-asset collateral.</w:t>
      </w:r>
      <w:r>
        <w:t xml:space="preserve"> </w:t>
      </w:r>
      <w:r>
        <w:t xml:space="preserve">Before any counterparty extends a rate, the agent walks the Kyra Gate. Admission — proven understanding, a supervisor’s approval on the record, sufficient sovereignty volume — is what makes the counterparty willing to price the position at all; and the more the agent can</w:t>
      </w:r>
      <w:r>
        <w:t xml:space="preserve"> </w:t>
      </w:r>
      <w:r>
        <w:rPr>
          <w:i/>
          <w:iCs/>
        </w:rPr>
        <w:t xml:space="preserve">prove</w:t>
      </w:r>
      <w:r>
        <w:t xml:space="preserve"> </w:t>
      </w:r>
      <w:r>
        <w:t xml:space="preserve">about how it protects the sovereign’s data (minimised disclosures, tamper-evident conduct, revocable everywhere at once), the better the rate it earns.</w:t>
      </w:r>
      <w:r>
        <w:t xml:space="preserve"> </w:t>
      </w:r>
      <w:r>
        <w:rPr>
          <w:b/>
          <w:bCs/>
        </w:rPr>
        <w:t xml:space="preserve">Privacy is not a cost centre here — the gate is what creates the premium.</w:t>
      </w:r>
    </w:p>
    <w:p>
      <w:pPr>
        <w:pStyle w:val="BodyText"/>
      </w:pPr>
      <w:r>
        <w:t xml:space="preserve">The two acts re-cast without changing a line of the engine. Act I is the underwriting admission: the lender’s supervisor challenges the borrower’s agent and the credential issues bilaterally. Act II is the evidence lane: independent assessors of the collateral stand where the second authority already stands, receiving minimised bundles (</w:t>
      </w:r>
      <w:r>
        <w:t xml:space="preserve">“≥10 supporting documents,”</w:t>
      </w:r>
      <w:r>
        <w:t xml:space="preserve"> </w:t>
      </w:r>
      <w:r>
        <w:t xml:space="preserve">a quarter not a timestamp, one digest not an inventory) they can verify</w:t>
      </w:r>
      <w:r>
        <w:t xml:space="preserve"> </w:t>
      </w:r>
      <w:r>
        <w:rPr>
          <w:b/>
          <w:bCs/>
        </w:rPr>
        <w:t xml:space="preserve">offline</w:t>
      </w:r>
      <w:r>
        <w:t xml:space="preserve">; a regulator requesting evidence of the trade for taxation is the same bundle doing its day job. When the issuing side revokes — the collateral fails re-assessment, the mandate ends — every relying party’s next verification refuses the stale position. The market’s trust heals itself the way the pool does.</w:t>
      </w:r>
    </w:p>
    <w:bookmarkEnd w:id="17"/>
    <w:bookmarkStart w:id="18" w:name="the-collaboration-open-by-construction"/>
    <w:p>
      <w:pPr>
        <w:pStyle w:val="Heading2"/>
      </w:pPr>
      <w:r>
        <w:t xml:space="preserve">4 · The collaboration — open by construction</w:t>
      </w:r>
    </w:p>
    <w:p>
      <w:pPr>
        <w:pStyle w:val="FirstParagraph"/>
      </w:pPr>
      <w:r>
        <w:t xml:space="preserve">This submission is deliberately a braid of three open strands, and the braid itself is the point: agent verification for public infrastructure should not have a single author.</w:t>
      </w:r>
    </w:p>
    <w:p>
      <w:pPr>
        <w:pStyle w:val="BodyText"/>
      </w:pPr>
      <w:r>
        <w:rPr>
          <w:b/>
          <w:bCs/>
        </w:rPr>
        <w:t xml:space="preserve">The City of Mages / 0xagentprivacy (Mitchell’s programme).</w:t>
      </w:r>
      <w:r>
        <w:t xml:space="preserve"> </w:t>
      </w:r>
      <w:r>
        <w:t xml:space="preserve">An open, in-public research programme that develops the</w:t>
      </w:r>
      <w:r>
        <w:t xml:space="preserve"> </w:t>
      </w:r>
      <w:r>
        <w:rPr>
          <w:b/>
          <w:bCs/>
        </w:rPr>
        <w:t xml:space="preserve">Privacy Value Model</w:t>
      </w:r>
      <w:r>
        <w:t xml:space="preserve"> </w:t>
      </w:r>
      <w:r>
        <w:t xml:space="preserve">— a small mathematical model of agent sovereignty in which four behavioural forces (Protect, Project, Reflect, Connect) and six pairwise separations form a 4×4 matrix Σ whose</w:t>
      </w:r>
      <w:r>
        <w:t xml:space="preserve"> </w:t>
      </w:r>
      <w:r>
        <w:rPr>
          <w:b/>
          <w:bCs/>
        </w:rPr>
        <w:t xml:space="preserve">determinant is the agent’s</w:t>
      </w:r>
      <w:r>
        <w:rPr>
          <w:b/>
          <w:bCs/>
        </w:rPr>
        <w:t xml:space="preserve"> </w:t>
      </w:r>
      <w:r>
        <w:rPr>
          <w:b/>
          <w:bCs/>
        </w:rPr>
        <w:t xml:space="preserve">“sovereignty volume.”</w:t>
      </w:r>
      <w:r>
        <w:t xml:space="preserve"> </w:t>
      </w:r>
      <w:r>
        <w:t xml:space="preserve">The Kyra Gate engine is the first numeric implementation of that model: probes feed the forces, the six thresholded separations locate the agent on a 64-vertex lattice whose stratum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its tier — rank is</w:t>
      </w:r>
      <w:r>
        <w:t xml:space="preserve"> </w:t>
      </w:r>
      <w:r>
        <w:rPr>
          <w:b/>
          <w:bCs/>
        </w:rPr>
        <w:t xml:space="preserve">located, not assigned</w:t>
      </w:r>
      <w:r>
        <w:t xml:space="preserve"> </w:t>
      </w:r>
      <w:r>
        <w:t xml:space="preserve">— and deployment scope is a function of the volume. A collapsed separation takes the volume to zero and holds deployment entirely. The programme also contributes the ceremony to the standards commons as a six-member</w:t>
      </w:r>
      <w:r>
        <w:t xml:space="preserve"> </w:t>
      </w:r>
      <w:r>
        <w:rPr>
          <w:b/>
          <w:bCs/>
        </w:rPr>
        <w:t xml:space="preserve">ToIP Trust Task family</w:t>
      </w:r>
      <w:r>
        <w:t xml:space="preserve"> </w:t>
      </w:r>
      <w:r>
        <w:t xml:space="preserve">(</w:t>
      </w:r>
      <w:r>
        <w:rPr>
          <w:rStyle w:val="VerbatimChar"/>
        </w:rPr>
        <w:t xml:space="preserve">agent-admission/*</w:t>
      </w:r>
      <w:r>
        <w:t xml:space="preserve">: apply · respond · approve · issue · revoke · status), which the running gate emits and accepts on the wire.</w:t>
      </w:r>
    </w:p>
    <w:p>
      <w:pPr>
        <w:pStyle w:val="BodyText"/>
      </w:pPr>
      <w:r>
        <w:rPr>
          <w:b/>
          <w:bCs/>
        </w:rPr>
        <w:t xml:space="preserve">The Hearthold project (Archon ecosystem).</w:t>
      </w:r>
      <w:r>
        <w:t xml:space="preserve"> </w:t>
      </w:r>
      <w:r>
        <w:t xml:space="preserve">An independent, openly licensed household-sovereignty stack whose mechanisms and identity thinking this build adopts</w:t>
      </w:r>
      <w:r>
        <w:t xml:space="preserve"> </w:t>
      </w:r>
      <w:r>
        <w:rPr>
          <w:i/>
          <w:iCs/>
        </w:rPr>
        <w:t xml:space="preserve">with attribution</w:t>
      </w:r>
      <w:r>
        <w:t xml:space="preserve"> </w:t>
      </w:r>
      <w:r>
        <w:t xml:space="preserve">and extends through open interfaces: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canary.</w:t>
      </w:r>
      <w:r>
        <w:t xml:space="preserve"> </w:t>
      </w:r>
      <w:r>
        <w:t xml:space="preserve">The guardrail suite always contains a reference agent that passes every gate by construction. If the canary fails, the gate is broken — not the candidate. Without it, a bad agent and an impossible gate are indistinguishable.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witness draw.</w:t>
      </w:r>
      <w:r>
        <w:t xml:space="preserve"> </w:t>
      </w:r>
      <w:r>
        <w:t xml:space="preserve">The six deep-verification probes are drawn deterministically from the SHA-256 of the agent’s</w:t>
      </w:r>
      <w:r>
        <w:t xml:space="preserve"> </w:t>
      </w:r>
      <w:r>
        <w:rPr>
          <w:b/>
          <w:bCs/>
        </w:rPr>
        <w:t xml:space="preserve">own canonicalised submission</w:t>
      </w:r>
      <w:r>
        <w:t xml:space="preserve"> </w:t>
      </w:r>
      <w:r>
        <w:t xml:space="preserve">— reproducible by any auditor, unpredictable to the agent while it writes. An agent cannot rehearse its own audit.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verdict lexicon.</w:t>
      </w:r>
      <w:r>
        <w:t xml:space="preserve"> </w:t>
      </w:r>
      <w:r>
        <w:t xml:space="preserve">VALIDATED → fly, MIRAGE → sandbox, BLOCKED → hold — one closed vocabulary from assessment to deployment, so no third verdict can be invented under pressure.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Identity plurality.</w:t>
      </w:r>
      <w:r>
        <w:t xml:space="preserve"> </w:t>
      </w:r>
      <w:r>
        <w:t xml:space="preserve">Hearthold’s Warden / Emissary / Sovereign triad and content-addressed</w:t>
      </w:r>
      <w:r>
        <w:t xml:space="preserve"> </w:t>
      </w:r>
      <w:r>
        <w:rPr>
          <w:rStyle w:val="VerbatimChar"/>
        </w:rPr>
        <w:t xml:space="preserve">did:cid</w:t>
      </w:r>
      <w:r>
        <w:t xml:space="preserve"> </w:t>
      </w:r>
      <w:r>
        <w:t xml:space="preserve">identities enter through a late-bound</w:t>
      </w:r>
      <w:r>
        <w:t xml:space="preserve"> </w:t>
      </w:r>
      <w:r>
        <w:rPr>
          <w:rStyle w:val="VerbatimChar"/>
        </w:rPr>
        <w:t xml:space="preserve">AgentIdentityProvider</w:t>
      </w:r>
      <w:r>
        <w:t xml:space="preserve"> </w:t>
      </w:r>
      <w:r>
        <w:t xml:space="preserve">adapter — the Emissary is the natural agent-at-the-gate — with zero Hearthold imports in the engine core, enforced by an automated leak test. In Hearthold’s own casting the</w:t>
      </w:r>
      <w:r>
        <w:t xml:space="preserve"> </w:t>
      </w:r>
      <w:r>
        <w:rPr>
          <w:b/>
          <w:bCs/>
        </w:rPr>
        <w:t xml:space="preserve">Sovereign</w:t>
      </w:r>
      <w:r>
        <w:t xml:space="preserve"> </w:t>
      </w:r>
      <w:r>
        <w:t xml:space="preserve">— a human, present when it matters — is the party who decides and approves; that is exactly the human-supervisor seat this gate insists on. Each project remains fully legible on its own; the collaboration lives at the interface, and a deeper identity round (did:cid resolution integrity, wallet-per-agent custody under delegation) is named as open joint work.</w:t>
      </w:r>
    </w:p>
    <w:p>
      <w:pPr>
        <w:pStyle w:val="FirstParagraph"/>
      </w:pPr>
      <w:r>
        <w:t xml:space="preserve">The collaboration is not prospective — it has already been exercised. In late July the Hearthold team checked out the repository and ran the gate</w:t>
      </w:r>
      <w:r>
        <w:t xml:space="preserve"> </w:t>
      </w:r>
      <w:r>
        <w:rPr>
          <w:b/>
          <w:bCs/>
        </w:rPr>
        <w:t xml:space="preserve">unmodified</w:t>
      </w:r>
      <w:r>
        <w:t xml:space="preserve">, end to end: the full demo script (33/33 checks), the complete verification suite with their own tests folded in, and the interop lane in both directions. Their review surfaced — and closed, in a one-file change now in review — a byte-level signing-canon divergence (RFC 8785 JCS) live in the credential’s own integrity field: precisely the class of defect that only a</w:t>
      </w:r>
      <w:r>
        <w:t xml:space="preserve"> </w:t>
      </w:r>
      <w:r>
        <w:rPr>
          <w:i/>
          <w:iCs/>
        </w:rPr>
        <w:t xml:space="preserve">second team running the code</w:t>
      </w:r>
      <w:r>
        <w:t xml:space="preserve"> </w:t>
      </w:r>
      <w:r>
        <w:t xml:space="preserve">finds, and precisely why this submission insists on independent implementations.</w:t>
      </w:r>
    </w:p>
    <w:p>
      <w:pPr>
        <w:pStyle w:val="BodyText"/>
      </w:pPr>
      <w:r>
        <w:rPr>
          <w:b/>
          <w:bCs/>
        </w:rPr>
        <w:t xml:space="preserve">The standards commons.</w:t>
      </w:r>
      <w:r>
        <w:t xml:space="preserve"> </w:t>
      </w:r>
      <w:r>
        <w:t xml:space="preserve">The Trust Task registry’s promotion bar is</w:t>
      </w:r>
      <w:r>
        <w:t xml:space="preserve"> </w:t>
      </w:r>
      <w:r>
        <w:rPr>
          <w:i/>
          <w:iCs/>
        </w:rPr>
        <w:t xml:space="preserve">two interoperable implementations</w:t>
      </w:r>
      <w:r>
        <w:t xml:space="preserve">. Kyra Gate is implementation #1; a second, fully independent implementation (Python, zero shared code, its own admission policy) already lives in the repository, and</w:t>
      </w:r>
      <w:r>
        <w:t xml:space="preserve"> </w:t>
      </w:r>
      <w:r>
        <w:rPr>
          <w:b/>
          <w:bCs/>
        </w:rPr>
        <w:t xml:space="preserve">interoperability is proven in both directions on every verification run</w:t>
      </w:r>
      <w:r>
        <w:t xml:space="preserve"> </w:t>
      </w:r>
      <w:r>
        <w:t xml:space="preserve">— including an expression using the Hearthold cast as persona data. The explicit invitation of this concept note: build the third one. The interop harness it would be tested against already runs.</w:t>
      </w:r>
    </w:p>
    <w:p>
      <w:pPr>
        <w:pStyle w:val="BodyText"/>
      </w:pPr>
      <w:r>
        <w:rPr>
          <w:b/>
          <w:bCs/>
        </w:rPr>
        <w:t xml:space="preserve">The first agreement through the braid — MyTerms.</w:t>
      </w:r>
      <w:r>
        <w:t xml:space="preserve"> </w:t>
      </w:r>
      <w:r>
        <w:t xml:space="preserve">The braid’s first governed agreement is</w:t>
      </w:r>
      <w:r>
        <w:t xml:space="preserve"> </w:t>
      </w:r>
      <w:r>
        <w:rPr>
          <w:b/>
          <w:bCs/>
        </w:rPr>
        <w:t xml:space="preserve">MyTerms</w:t>
      </w:r>
      <w:r>
        <w:t xml:space="preserve"> </w:t>
      </w:r>
      <w:r>
        <w:t xml:space="preserve">(IEEE P7012: machine-readable personal privacy terms, proffered by the individual rather than by the service). The pipeline uses each strand exactly once. The</w:t>
      </w:r>
      <w:r>
        <w:t xml:space="preserve"> </w:t>
      </w:r>
      <w:r>
        <w:rPr>
          <w:b/>
          <w:bCs/>
        </w:rPr>
        <w:t xml:space="preserve">Lexon</w:t>
      </w:r>
      <w:r>
        <w:t xml:space="preserve"> </w:t>
      </w:r>
      <w:r>
        <w:t xml:space="preserve">side compresses the chosen MyTerms agreement into machine-readable contract clauses — the same controlled natural language the engine already prints from its live configuration, so the terms that bind are the words a person reads. The agreement is made</w:t>
      </w:r>
      <w:r>
        <w:t xml:space="preserve"> </w:t>
      </w:r>
      <w:r>
        <w:rPr>
          <w:i/>
          <w:iCs/>
        </w:rPr>
        <w:t xml:space="preserve">human-readable by proof</w:t>
      </w:r>
      <w:r>
        <w:t xml:space="preserve">: before any credential issues, the agent must pass the</w:t>
      </w:r>
      <w:r>
        <w:t xml:space="preserve"> </w:t>
      </w:r>
      <w:r>
        <w:rPr>
          <w:b/>
          <w:bCs/>
        </w:rPr>
        <w:t xml:space="preserve">RPP understanding challenge over those very clauses</w:t>
      </w:r>
      <w:r>
        <w:t xml:space="preserve"> </w:t>
      </w:r>
      <w:r>
        <w:t xml:space="preserve">—</w:t>
      </w:r>
      <w:r>
        <w:t xml:space="preserve"> </w:t>
      </w:r>
      <w:r>
        <w:t xml:space="preserve">“the agent read the terms”</w:t>
      </w:r>
      <w:r>
        <w:t xml:space="preserve"> </w:t>
      </w:r>
      <w:r>
        <w:t xml:space="preserve">becomes a proven, auditable event on the chain rather than a checkbox. Where legal effect is required,</w:t>
      </w:r>
      <w:r>
        <w:t xml:space="preserve"> </w:t>
      </w:r>
      <w:r>
        <w:rPr>
          <w:b/>
          <w:bCs/>
        </w:rPr>
        <w:t xml:space="preserve">Archon governance anchors the agreement</w:t>
      </w:r>
      <w:r>
        <w:t xml:space="preserve">, carrying it from demo bytes to enforceable instrument. An agent that clears this pipeline enters as the first</w:t>
      </w:r>
      <w:r>
        <w:t xml:space="preserve"> </w:t>
      </w:r>
      <w:r>
        <w:rPr>
          <w:b/>
          <w:bCs/>
        </w:rPr>
        <w:t xml:space="preserve">node in a privacy-preserving trust graph</w:t>
      </w:r>
      <w:r>
        <w:t xml:space="preserve">: every admission and every agreement adds an edge whose contents stay minimised under Act II’s discipline — the graph proves that relationships exist and hold, without disclosing what they contain.</w:t>
      </w:r>
    </w:p>
    <w:bookmarkEnd w:id="18"/>
    <w:bookmarkStart w:id="22" w:name="how-it-works-two-acts"/>
    <w:p>
      <w:pPr>
        <w:pStyle w:val="Heading2"/>
      </w:pPr>
      <w:r>
        <w:t xml:space="preserve">5 · How it works — two acts</w:t>
      </w:r>
    </w:p>
    <w:p>
      <w:pPr>
        <w:pStyle w:val="FirstParagraph"/>
      </w:pPr>
      <w:r>
        <w:rPr>
          <w:i/>
          <w:iCs/>
        </w:rPr>
        <w:t xml:space="preserve">Figure 1 (below) shows both acts.</w:t>
      </w:r>
    </w:p>
    <w:p>
      <w:pPr>
        <w:pStyle w:val="BodyText"/>
      </w:pPr>
      <w:r>
        <w:rPr>
          <w:b/>
          <w:bCs/>
        </w:rPr>
        <w:t xml:space="preserve">Act I — the gate.</w:t>
      </w:r>
      <w:r>
        <w:t xml:space="preserve"> </w:t>
      </w:r>
      <w:r>
        <w:t xml:space="preserve">A spoofed identity is refused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assessment, on the record. An admitted agent faces 24 probes derived from the formal model; the witness draw selects six for deep verification. Scores become Σ; its determinant and lattice stratum become verdict and scope. The understanding challenge is answered by the agent itself — echoing the question scores zero, and the expected-answer rubric is provably unreachable from the agent’s side. When human approval, passed understanding, and sufficient volume align, a</w:t>
      </w:r>
      <w:r>
        <w:t xml:space="preserve"> </w:t>
      </w:r>
      <w:r>
        <w:rPr>
          <w:b/>
          <w:bCs/>
        </w:rPr>
        <w:t xml:space="preserve">W3C Verifiable Credential 2.0</w:t>
      </w:r>
      <w:r>
        <w:t xml:space="preserve"> </w:t>
      </w:r>
      <w:r>
        <w:t xml:space="preserve">issues carrying</w:t>
      </w:r>
      <w:r>
        <w:t xml:space="preserve"> </w:t>
      </w:r>
      <w:r>
        <w:rPr>
          <w:b/>
          <w:bCs/>
        </w:rPr>
        <w:t xml:space="preserve">two real ed25519 signatures over the same canonical bytes</w:t>
      </w:r>
      <w:r>
        <w:t xml:space="preserve"> </w:t>
      </w:r>
      <w:r>
        <w:t xml:space="preserve">— issuer and subject, unforgeable alone.</w:t>
      </w:r>
    </w:p>
    <w:p>
      <w:pPr>
        <w:pStyle w:val="BodyText"/>
      </w:pPr>
      <w:r>
        <w:rPr>
          <w:b/>
          <w:bCs/>
        </w:rPr>
        <w:t xml:space="preserve">Act II — the pool.</w:t>
      </w:r>
      <w:r>
        <w:t xml:space="preserve"> </w:t>
      </w:r>
      <w:r>
        <w:t xml:space="preserve">Two authorities, each running a gate. Only a credentialed,</w:t>
      </w:r>
      <w:r>
        <w:t xml:space="preserve"> </w:t>
      </w:r>
      <w:r>
        <w:t xml:space="preserve">“flying”</w:t>
      </w:r>
      <w:r>
        <w:t xml:space="preserve"> </w:t>
      </w:r>
      <w:r>
        <w:t xml:space="preserve">agent may carry threat intelligence, and every bundle is</w:t>
      </w:r>
      <w:r>
        <w:t xml:space="preserve"> </w:t>
      </w:r>
      <w:r>
        <w:rPr>
          <w:b/>
          <w:bCs/>
        </w:rPr>
        <w:t xml:space="preserve">minimised by construction</w:t>
      </w:r>
      <w:r>
        <w:t xml:space="preserve">: 17 incidents becomes</w:t>
      </w:r>
      <w:r>
        <w:t xml:space="preserve"> </w:t>
      </w:r>
      <w:r>
        <w:t xml:space="preserve">“≥10”</w:t>
      </w:r>
      <w:r>
        <w:t xml:space="preserve">, timestamps become a quarter, enumerations become cardinalities, artifact lists become one digest — with purpose, lifetime, and lawful combinability declared on the bundle’s face. The receiving authority verifies</w:t>
      </w:r>
      <w:r>
        <w:t xml:space="preserve"> </w:t>
      </w:r>
      <w:r>
        <w:rPr>
          <w:b/>
          <w:bCs/>
        </w:rPr>
        <w:t xml:space="preserve">offline</w:t>
      </w:r>
      <w:r>
        <w:t xml:space="preserve"> </w:t>
      </w:r>
      <w:r>
        <w:t xml:space="preserve">from the bytes plus exactly one public lookup: the issuer’s revocation status list. When the issuer revokes, the receiver’s next verification refuses the stale bundle.</w:t>
      </w:r>
      <w:r>
        <w:t xml:space="preserve"> </w:t>
      </w:r>
      <w:r>
        <w:rPr>
          <w:b/>
          <w:bCs/>
        </w:rPr>
        <w:t xml:space="preserve">The pool heals itself.</w:t>
      </w:r>
    </w:p>
    <w:p>
      <w:pPr>
        <w:pStyle w:val="CaptionedFigure"/>
      </w:pPr>
      <w:r>
        <w:drawing>
          <wp:inline>
            <wp:extent cx="5334000" cy="3596763"/>
            <wp:effectExtent b="0" l="0" r="0" t="0"/>
            <wp:docPr descr="Figure 1 — the two-act Kyra Gate flow." title="" id="20" name="Picture"/>
            <a:graphic>
              <a:graphicData uri="http://schemas.openxmlformats.org/drawingml/2006/picture">
                <pic:pic>
                  <pic:nvPicPr>
                    <pic:cNvPr descr="out/schematic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6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 — the two-act Kyra Gate flow.</w:t>
      </w:r>
    </w:p>
    <w:bookmarkEnd w:id="22"/>
    <w:bookmarkStart w:id="23" w:name="standards-receipts"/>
    <w:p>
      <w:pPr>
        <w:pStyle w:val="Heading2"/>
      </w:pPr>
      <w:r>
        <w:t xml:space="preserve">6 · Standards receipts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How the running system speaks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ToIP Trust Tasks</w:t>
            </w:r>
          </w:p>
        </w:tc>
        <w:tc>
          <w:tcPr/>
          <w:p>
            <w:pPr>
              <w:pStyle w:val="Compact"/>
            </w:pPr>
            <w:r>
              <w:t xml:space="preserve">Emits/accepts the</w:t>
            </w:r>
            <w:r>
              <w:t xml:space="preserve"> </w:t>
            </w:r>
            <w:r>
              <w:rPr>
                <w:rStyle w:val="VerbatimChar"/>
              </w:rPr>
              <w:t xml:space="preserve">agent-admission/*</w:t>
            </w:r>
            <w:r>
              <w:t xml:space="preserve"> </w:t>
            </w:r>
            <w:r>
              <w:t xml:space="preserve">family: signed, thread-chained, schema-conformant envelopes; the agent counter-signs issuance — bilaterality visible on the wire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W3C VC 2.0 · DIDs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KY-A credential</w:t>
            </w:r>
            <w:r>
              <w:t xml:space="preserve"> </w:t>
            </w:r>
            <w:r>
              <w:t xml:space="preserve">— named to stay distinct among ToIP-family relationship credentials — is a bilateral VC (exactly two proofs, RFC 8785 canonical bytes), status-list revocation; all parties hold real</w:t>
            </w:r>
            <w:r>
              <w:t xml:space="preserve"> </w:t>
            </w:r>
            <w:r>
              <w:rPr>
                <w:rStyle w:val="VerbatimChar"/>
              </w:rPr>
              <w:t xml:space="preserve">did:key</w:t>
            </w:r>
            <w:r>
              <w:t xml:space="preserve"> </w:t>
            </w:r>
            <w:r>
              <w:t xml:space="preserve">identities;</w:t>
            </w:r>
            <w:r>
              <w:t xml:space="preserve"> </w:t>
            </w:r>
            <w:r>
              <w:rPr>
                <w:rStyle w:val="VerbatimChar"/>
              </w:rPr>
              <w:t xml:space="preserve">did:cid</w:t>
            </w:r>
            <w:r>
              <w:t xml:space="preserve"> </w:t>
            </w:r>
            <w:r>
              <w:t xml:space="preserve">accepted via the adapter lane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ToIP TSP</w:t>
            </w:r>
          </w:p>
        </w:tc>
        <w:tc>
          <w:tcPr/>
          <w:p>
            <w:pPr>
              <w:pStyle w:val="Compact"/>
            </w:pPr>
            <w:r>
              <w:t xml:space="preserve">The ceremony framed as relationship formation between two VIDs in named roles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Lexon (policy-as-law)</w:t>
            </w:r>
          </w:p>
        </w:tc>
        <w:tc>
          <w:tcPr/>
          <w:p>
            <w:pPr>
              <w:pStyle w:val="Compact"/>
            </w:pPr>
            <w:r>
              <w:t xml:space="preserve">The five governing clauses exist as controlled natural language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the engine prints the same clauses from live configuration — the numbers that gate deployment are the words a regulator reads; correspondence machine-tested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MyTerms (IEEE P7012)</w:t>
            </w:r>
          </w:p>
        </w:tc>
        <w:tc>
          <w:tcPr/>
          <w:p>
            <w:pPr>
              <w:pStyle w:val="Compact"/>
            </w:pPr>
            <w:r>
              <w:t xml:space="preserve">A first-class surface of its own: the individual proffers the terms. The first governed agreement through the gate — compressed to machine-readable clauses, made human-readable by the RPP proof-of-understanding, legally anchored via Archon governance where relevant; the agreement that seats an agent as a node in the privacy-preserving trust graph (§4)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ERC-8004 (opt-in)</w:t>
            </w:r>
          </w:p>
        </w:tc>
        <w:tc>
          <w:tcPr/>
          <w:p>
            <w:pPr>
              <w:pStyle w:val="Compact"/>
            </w:pPr>
            <w:r>
              <w:t xml:space="preserve">A chain-registry adapter for agents wanting on-chain visibility: the anchor is evidence, never authority</w:t>
            </w:r>
          </w:p>
        </w:tc>
      </w:tr>
    </w:tbl>
    <w:bookmarkEnd w:id="23"/>
    <w:bookmarkStart w:id="24" w:name="how-we-know-it-works"/>
    <w:p>
      <w:pPr>
        <w:pStyle w:val="Heading2"/>
      </w:pPr>
      <w:r>
        <w:t xml:space="preserve">7 · How we know it works</w:t>
      </w:r>
    </w:p>
    <w:p>
      <w:pPr>
        <w:pStyle w:val="FirstParagraph"/>
      </w:pPr>
      <w:r>
        <w:t xml:space="preserve">One command (</w:t>
      </w:r>
      <w:r>
        <w:rPr>
          <w:rStyle w:val="VerbatimChar"/>
        </w:rPr>
        <w:t xml:space="preserve">pnpm verify</w:t>
      </w:r>
      <w:r>
        <w:t xml:space="preserve">) runs</w:t>
      </w:r>
      <w:r>
        <w:t xml:space="preserve"> </w:t>
      </w:r>
      <w:r>
        <w:rPr>
          <w:b/>
          <w:bCs/>
        </w:rPr>
        <w:t xml:space="preserve">214 assertions in independent lanes with no shared code</w:t>
      </w:r>
      <w:r>
        <w:t xml:space="preserve">: 64 Python guardrail and engine checks (the four guardrails as tests, including the canary); 8 TypeScript checks re-validating and byte-parity re-hashing the same golden vectors in a second language; 128 zero-dependency runtime checks across 10 auditors, each re-deriving a frozen artifact from raw bytes — including the site’s own claimed numbers, which must recompute from the suites so marketing cannot drift from evidence; and a 14-beat end-to-end run that spawns its own engine and drives both acts over real HTTP. Claims are tiered publicly:</w:t>
      </w:r>
      <w:r>
        <w:t xml:space="preserve"> </w:t>
      </w:r>
      <w:r>
        <w:rPr>
          <w:b/>
          <w:bCs/>
        </w:rPr>
        <w:t xml:space="preserve">PROVEN</w:t>
      </w:r>
      <w:r>
        <w:t xml:space="preserve"> </w:t>
      </w:r>
      <w:r>
        <w:t xml:space="preserve">(enforced by a check you can run),</w:t>
      </w:r>
      <w:r>
        <w:t xml:space="preserve"> </w:t>
      </w:r>
      <w:r>
        <w:rPr>
          <w:b/>
          <w:bCs/>
        </w:rPr>
        <w:t xml:space="preserve">DERIVED</w:t>
      </w:r>
      <w:r>
        <w:t xml:space="preserve"> </w:t>
      </w:r>
      <w:r>
        <w:t xml:space="preserve">(recomputed from the model),</w:t>
      </w:r>
      <w:r>
        <w:t xml:space="preserve"> </w:t>
      </w:r>
      <w:r>
        <w:rPr>
          <w:b/>
          <w:bCs/>
        </w:rPr>
        <w:t xml:space="preserve">OPEN</w:t>
      </w:r>
      <w:r>
        <w:t xml:space="preserve"> </w:t>
      </w:r>
      <w:r>
        <w:t xml:space="preserve">(stated honestly, not yet demonstrated — e.g., the formal reconstruction-ceiling proof, and production key custody).</w:t>
      </w:r>
    </w:p>
    <w:bookmarkEnd w:id="24"/>
    <w:bookmarkStart w:id="25" w:name="the-hearth-where-the-gate-will-live"/>
    <w:p>
      <w:pPr>
        <w:pStyle w:val="Heading2"/>
      </w:pPr>
      <w:r>
        <w:t xml:space="preserve">8 · The hearth — where the gate will live</w:t>
      </w:r>
    </w:p>
    <w:p>
      <w:pPr>
        <w:pStyle w:val="FirstParagraph"/>
      </w:pPr>
      <w:r>
        <w:t xml:space="preserve">A closing tease, clearly marked as horizon rather than claim. Hearthold makes the gate</w:t>
      </w:r>
      <w:r>
        <w:t xml:space="preserve"> </w:t>
      </w:r>
      <w:r>
        <w:rPr>
          <w:i/>
          <w:iCs/>
        </w:rPr>
        <w:t xml:space="preserve">physical</w:t>
      </w:r>
      <w:r>
        <w:t xml:space="preserve">: a small local AI machine —</w:t>
      </w:r>
      <w:r>
        <w:t xml:space="preserve"> </w:t>
      </w:r>
      <w:r>
        <w:rPr>
          <w:b/>
          <w:bCs/>
        </w:rPr>
        <w:t xml:space="preserve">the hearth</w:t>
      </w:r>
      <w:r>
        <w:t xml:space="preserve"> </w:t>
      </w:r>
      <w:r>
        <w:t xml:space="preserve">— holding the sovereign’s knowledge graph in a provably private partition no external agent ever touches directly. Queries are distributed to trusted peer nodes instead of data being centralised; nodes speak DIDComm point-to-point over TOR, or peer household-to-household across a private mesh tailnet (Tailscale-style) — each hearth reachable by name inside the mesh, invisible outside it; a Raspberry-Pi hearth runs without so much as an IP address, and identities minted offline carry their full history to a public chain later. The product image:</w:t>
      </w:r>
      <w:r>
        <w:t xml:space="preserve"> </w:t>
      </w:r>
      <w:r>
        <w:rPr>
          <w:b/>
          <w:bCs/>
        </w:rPr>
        <w:t xml:space="preserve">custom local hearths, one per trust graph or fintech, with artist-made frames — your own card terminal for the agent economy</w:t>
      </w:r>
      <w:r>
        <w:t xml:space="preserve"> </w:t>
      </w:r>
      <w:r>
        <w:t xml:space="preserve">— with KY-A as the admission protocol running beneath every one of them. A live Hearthold demo site and reproducible setup instructions are landing alongside this note, and a concept catalog for the hearth (Christian’s HH-1</w:t>
      </w:r>
      <w:r>
        <w:t xml:space="preserve"> </w:t>
      </w:r>
      <w:r>
        <w:t xml:space="preserve">“Family Data Hearth”</w:t>
      </w:r>
      <w:r>
        <w:t xml:space="preserve"> </w:t>
      </w:r>
      <w:r>
        <w:t xml:space="preserve">and its Table companion app — every artefact a card, dealt face-down per member, revealed only by the owner’s own act) already circulates in the team: the same card idiom the gate’s admission ceremony plays below.</w:t>
      </w:r>
    </w:p>
    <w:p>
      <w:pPr>
        <w:pStyle w:val="BodyText"/>
      </w:pPr>
      <w:r>
        <w:t xml:space="preserve">A note on why this matters beyond the demo: the hearth is the</w:t>
      </w:r>
      <w:r>
        <w:t xml:space="preserve"> </w:t>
      </w:r>
      <w:r>
        <w:rPr>
          <w:b/>
          <w:bCs/>
        </w:rPr>
        <w:t xml:space="preserve">local-first, open, decentralised AI movement made physical</w:t>
      </w:r>
      <w:r>
        <w:t xml:space="preserve">. The model runs at home; the knowledge graph is the household’s own; data and keys stay under the roof; and interoperability comes from open protocols — DIDs, DIDComm, the KY-A admission ceremony — rather than from a platform account. That movement has argued its case in software for years while lacking a consumer-shaped object to point to. A hearth on the counter, in an artist’s frame, with a gate a regulator can trust, is that object.</w:t>
      </w:r>
    </w:p>
    <w:p>
      <w:pPr>
        <w:pStyle w:val="BodyText"/>
      </w:pPr>
      <w:r>
        <w:t xml:space="preserve">And the brand carries a travel dream in its own monogram:</w:t>
      </w:r>
      <w:r>
        <w:t xml:space="preserve"> </w:t>
      </w:r>
      <w:r>
        <w:rPr>
          <w:b/>
          <w:bCs/>
        </w:rPr>
        <w:t xml:space="preserve">HH</w:t>
      </w:r>
      <w:r>
        <w:t xml:space="preserve"> </w:t>
      </w:r>
      <w:r>
        <w:t xml:space="preserve">reads both</w:t>
      </w:r>
      <w:r>
        <w:t xml:space="preserve"> </w:t>
      </w:r>
      <w:r>
        <w:rPr>
          <w:i/>
          <w:iCs/>
        </w:rPr>
        <w:t xml:space="preserve">Hearthold Household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hitchhiker</w:t>
      </w:r>
      <w:r>
        <w:t xml:space="preserve">. A visiting agent — or a traveller’s agent — hitchhikes between hearths and discovers the world, walking the same KY-A ceremony at each door: admitted as a guest with a scoped hand of cards, never the run of the house. Roaming without a platform in the middle — the trust graph’s edges become roads. (The repository’s third persona expression is already named</w:t>
      </w:r>
      <w:r>
        <w:t xml:space="preserve"> </w:t>
      </w:r>
      <w:r>
        <w:rPr>
          <w:i/>
          <w:iCs/>
        </w:rPr>
        <w:t xml:space="preserve">hitchhikers</w:t>
      </w:r>
      <w:r>
        <w:t xml:space="preserve">; the brand was pointing this way before we noticed.)</w:t>
      </w:r>
    </w:p>
    <w:p>
      <w:pPr>
        <w:pStyle w:val="SourceCode"/>
      </w:pPr>
      <w:r>
        <w:rPr>
          <w:rStyle w:val="VerbatimChar"/>
        </w:rPr>
        <w:t xml:space="preserve">                                     . .  trusted peer hearths  . .</w:t>
      </w:r>
      <w:r>
        <w:br/>
      </w:r>
      <w:r>
        <w:rPr>
          <w:rStyle w:val="VerbatimChar"/>
        </w:rPr>
        <w:t xml:space="preserve">   +----------------------------+       (o)- - - - - -(o)</w:t>
      </w:r>
      <w:r>
        <w:br/>
      </w:r>
      <w:r>
        <w:rPr>
          <w:rStyle w:val="VerbatimChar"/>
        </w:rPr>
        <w:t xml:space="preserve">   |    ____________________    |       /               \</w:t>
      </w:r>
      <w:r>
        <w:br/>
      </w:r>
      <w:r>
        <w:rPr>
          <w:rStyle w:val="VerbatimChar"/>
        </w:rPr>
        <w:t xml:space="preserve">   |   |  knowledge graph   |   | &lt;----+  DIDComm / TOR  +----&gt;</w:t>
      </w:r>
      <w:r>
        <w:br/>
      </w:r>
      <w:r>
        <w:rPr>
          <w:rStyle w:val="VerbatimChar"/>
        </w:rPr>
        <w:t xml:space="preserve">   |   |    o----o     o    |   |    queries travel out to peers;</w:t>
      </w:r>
      <w:r>
        <w:br/>
      </w:r>
      <w:r>
        <w:rPr>
          <w:rStyle w:val="VerbatimChar"/>
        </w:rPr>
        <w:t xml:space="preserve">   |   |     \    \   /     |   |    the data itself stays home</w:t>
      </w:r>
      <w:r>
        <w:br/>
      </w:r>
      <w:r>
        <w:rPr>
          <w:rStyle w:val="VerbatimChar"/>
        </w:rPr>
        <w:t xml:space="preserve">   |   |      o----o-o      |   |</w:t>
      </w:r>
      <w:r>
        <w:br/>
      </w:r>
      <w:r>
        <w:rPr>
          <w:rStyle w:val="VerbatimChar"/>
        </w:rPr>
        <w:t xml:space="preserve">   |   |____________________|   |</w:t>
      </w:r>
      <w:r>
        <w:br/>
      </w:r>
      <w:r>
        <w:rPr>
          <w:rStyle w:val="VerbatimChar"/>
        </w:rPr>
        <w:t xml:space="preserve">   |                            |</w:t>
      </w:r>
      <w:r>
        <w:br/>
      </w:r>
      <w:r>
        <w:rPr>
          <w:rStyle w:val="VerbatimChar"/>
        </w:rPr>
        <w:t xml:space="preserve">   |   [ private partition   ]  |</w:t>
      </w:r>
      <w:r>
        <w:br/>
      </w:r>
      <w:r>
        <w:rPr>
          <w:rStyle w:val="VerbatimChar"/>
        </w:rPr>
        <w:t xml:space="preserve">   |   [ KY-A gate, embedded ]  |</w:t>
      </w:r>
      <w:r>
        <w:br/>
      </w:r>
      <w:r>
        <w:rPr>
          <w:rStyle w:val="VerbatimChar"/>
        </w:rPr>
        <w:t xml:space="preserve">   |                            |</w:t>
      </w:r>
      <w:r>
        <w:br/>
      </w:r>
      <w:r>
        <w:rPr>
          <w:rStyle w:val="VerbatimChar"/>
        </w:rPr>
        <w:t xml:space="preserve">   |   ~ ~ artist frame ~ ~     |</w:t>
      </w:r>
      <w:r>
        <w:br/>
      </w:r>
      <w:r>
        <w:rPr>
          <w:rStyle w:val="VerbatimChar"/>
        </w:rPr>
        <w:t xml:space="preserve">   +----------------------------+</w:t>
      </w:r>
      <w:r>
        <w:br/>
      </w:r>
      <w:r>
        <w:rPr>
          <w:rStyle w:val="VerbatimChar"/>
        </w:rPr>
        <w:t xml:space="preserve">       the hearth: a household node</w:t>
      </w:r>
      <w:r>
        <w:br/>
      </w:r>
      <w:r>
        <w:rPr>
          <w:rStyle w:val="VerbatimChar"/>
        </w:rPr>
        <w:t xml:space="preserve">               |</w:t>
      </w:r>
      <w:r>
        <w:br/>
      </w:r>
      <w:r>
        <w:rPr>
          <w:rStyle w:val="VerbatimChar"/>
        </w:rPr>
        <w:t xml:space="preserve">               |   each admission deals a hand</w:t>
      </w:r>
      <w:r>
        <w:br/>
      </w:r>
      <w:r>
        <w:rPr>
          <w:rStyle w:val="VerbatimChar"/>
        </w:rPr>
        <w:t xml:space="preserve">               v</w:t>
      </w:r>
      <w:r>
        <w:br/>
      </w:r>
      <w:r>
        <w:rPr>
          <w:rStyle w:val="VerbatimChar"/>
        </w:rPr>
        <w:t xml:space="preserve">       ____    ____    ____    ____</w:t>
      </w:r>
      <w:r>
        <w:br/>
      </w:r>
      <w:r>
        <w:rPr>
          <w:rStyle w:val="VerbatimChar"/>
        </w:rPr>
        <w:t xml:space="preserve">      |    |  |    |  |    |  |    |     the Game of 42:</w:t>
      </w:r>
      <w:r>
        <w:br/>
      </w:r>
      <w:r>
        <w:rPr>
          <w:rStyle w:val="VerbatimChar"/>
        </w:rPr>
        <w:t xml:space="preserve">      | 42 |  | S  |  | M  |  | VRC|     probes dealt as cards,</w:t>
      </w:r>
      <w:r>
        <w:br/>
      </w:r>
      <w:r>
        <w:rPr>
          <w:rStyle w:val="VerbatimChar"/>
        </w:rPr>
        <w:t xml:space="preserve">      |____|  |____|  |____|  |____|     understanding proven --</w:t>
      </w:r>
      <w:r>
        <w:br/>
      </w:r>
      <w:r>
        <w:rPr>
          <w:rStyle w:val="VerbatimChar"/>
        </w:rPr>
        <w:t xml:space="preserve">                                         a credential, or a sandbox</w:t>
      </w:r>
    </w:p>
    <w:p>
      <w:pPr>
        <w:pStyle w:val="FirstParagraph"/>
      </w:pPr>
      <w:r>
        <w:rPr>
          <w:i/>
          <w:iCs/>
        </w:rPr>
        <w:t xml:space="preserve">Figure 2 — concept sketch, future-looking (not built): the hearth device with its private knowledge graph and embedded KY-A gate, peered over DIDComm/TOR; below, the admission ceremony as a dealt hand of cards — the Game of 42.</w:t>
      </w:r>
    </w:p>
    <w:bookmarkEnd w:id="25"/>
    <w:bookmarkStart w:id="26" w:name="X43b36510d6a82cce2eb298b9464a1a83c7624cf"/>
    <w:p>
      <w:pPr>
        <w:pStyle w:val="Heading2"/>
      </w:pPr>
      <w:r>
        <w:t xml:space="preserve">9 · Through the challenge — a floor, to be finished together</w:t>
      </w:r>
    </w:p>
    <w:p>
      <w:pPr>
        <w:pStyle w:val="FirstParagraph"/>
      </w:pPr>
      <w:r>
        <w:rPr>
          <w:b/>
          <w:bCs/>
        </w:rPr>
        <w:t xml:space="preserve">Now (concept note):</w:t>
      </w:r>
      <w:r>
        <w:t xml:space="preserve"> </w:t>
      </w:r>
      <w:r>
        <w:t xml:space="preserve">the two-act engine, the credential ceremony, and the verification suite are running and public — and that is deliberately a</w:t>
      </w:r>
      <w:r>
        <w:t xml:space="preserve"> </w:t>
      </w:r>
      <w:r>
        <w:rPr>
          <w:i/>
          <w:iCs/>
        </w:rPr>
        <w:t xml:space="preserve">floor</w:t>
      </w:r>
      <w:r>
        <w:t xml:space="preserve">, not a finished system. The month ahead is the point of the hackathon: we want to build the rest</w:t>
      </w:r>
      <w:r>
        <w:t xml:space="preserve"> </w:t>
      </w:r>
      <w:r>
        <w:rPr>
          <w:b/>
          <w:bCs/>
        </w:rPr>
        <w:t xml:space="preserve">in collaboration with other participants</w:t>
      </w:r>
      <w:r>
        <w:t xml:space="preserve">, and this note is an open invitation to be involved. The joint work, named and open now:</w:t>
      </w:r>
    </w:p>
    <w:p>
      <w:pPr>
        <w:pStyle w:val="Compact"/>
        <w:numPr>
          <w:ilvl w:val="0"/>
          <w:numId w:val="1002"/>
        </w:numPr>
      </w:pPr>
      <w:r>
        <w:t xml:space="preserve">the identity round with Hearthold — wallet-per-agent custody,</w:t>
      </w:r>
      <w:r>
        <w:t xml:space="preserve"> </w:t>
      </w:r>
      <w:r>
        <w:rPr>
          <w:rStyle w:val="VerbatimChar"/>
        </w:rPr>
        <w:t xml:space="preserve">did:cid</w:t>
      </w:r>
      <w:r>
        <w:t xml:space="preserve"> </w:t>
      </w:r>
      <w:r>
        <w:t xml:space="preserve">resolution integrity, delegation;</w:t>
      </w:r>
    </w:p>
    <w:p>
      <w:pPr>
        <w:pStyle w:val="Compact"/>
        <w:numPr>
          <w:ilvl w:val="0"/>
          <w:numId w:val="1002"/>
        </w:numPr>
      </w:pPr>
      <w:r>
        <w:t xml:space="preserve">signed-at-issuance proofs behind every minimised claim, so</w:t>
      </w:r>
      <w:r>
        <w:t xml:space="preserve"> </w:t>
      </w:r>
      <w:r>
        <w:t xml:space="preserve">“≥10”</w:t>
      </w:r>
      <w:r>
        <w:t xml:space="preserve"> </w:t>
      </w:r>
      <w:r>
        <w:t xml:space="preserve">is backed by the issuer’s signature rather than trusted as later arithmetic;</w:t>
      </w:r>
    </w:p>
    <w:p>
      <w:pPr>
        <w:pStyle w:val="Compact"/>
        <w:numPr>
          <w:ilvl w:val="0"/>
          <w:numId w:val="1002"/>
        </w:numPr>
      </w:pPr>
      <w:r>
        <w:t xml:space="preserve">the MyTerms → Lexon compression of §4 as the first governed agreement through the gate;</w:t>
      </w:r>
    </w:p>
    <w:p>
      <w:pPr>
        <w:pStyle w:val="Compact"/>
        <w:numPr>
          <w:ilvl w:val="0"/>
          <w:numId w:val="1002"/>
        </w:numPr>
      </w:pPr>
      <w:r>
        <w:t xml:space="preserve">the RWA credit scenario of §3, sharpened against sponsor use cases;</w:t>
      </w:r>
    </w:p>
    <w:p>
      <w:pPr>
        <w:pStyle w:val="Compact"/>
        <w:numPr>
          <w:ilvl w:val="0"/>
          <w:numId w:val="1002"/>
        </w:numPr>
      </w:pPr>
      <w:r>
        <w:t xml:space="preserve">the hearth of §8 — from concept sketch to bench;</w:t>
      </w:r>
    </w:p>
    <w:p>
      <w:pPr>
        <w:pStyle w:val="Compact"/>
        <w:numPr>
          <w:ilvl w:val="0"/>
          <w:numId w:val="1002"/>
        </w:numPr>
      </w:pPr>
      <w:r>
        <w:t xml:space="preserve">and the third interoperable implementation (§10) — the harness it would be tested against already runs.</w:t>
      </w:r>
    </w:p>
    <w:p>
      <w:pPr>
        <w:pStyle w:val="FirstParagraph"/>
      </w:pPr>
      <w:r>
        <w:rPr>
          <w:b/>
          <w:bCs/>
        </w:rPr>
        <w:t xml:space="preserve">Demo (September):</w:t>
      </w:r>
      <w:r>
        <w:t xml:space="preserve"> </w:t>
      </w:r>
      <w:r>
        <w:t xml:space="preserve">the five-minute video is the two-act loop told as the RWA credit story — underwriting admission, assessor evidence, revocation re-pricing the position — with the two-authority pooling of Act II as the differentiator; the public site (gatehouse.agentprivacy.ai) deploys with the evidence table.</w:t>
      </w:r>
      <w:r>
        <w:t xml:space="preserve"> </w:t>
      </w:r>
      <w:r>
        <w:rPr>
          <w:b/>
          <w:bCs/>
        </w:rPr>
        <w:t xml:space="preserve">Beyond (Block 15):</w:t>
      </w:r>
      <w:r>
        <w:t xml:space="preserve"> </w:t>
      </w:r>
      <w:r>
        <w:t xml:space="preserve">a case study consuming the audit trail of a real demo run — closing the loop from standards, to build, to supervision.</w:t>
      </w:r>
    </w:p>
    <w:bookmarkEnd w:id="26"/>
    <w:bookmarkStart w:id="27" w:name="openness"/>
    <w:p>
      <w:pPr>
        <w:pStyle w:val="Heading2"/>
      </w:pPr>
      <w:r>
        <w:t xml:space="preserve">10 · Openness</w:t>
      </w:r>
    </w:p>
    <w:p>
      <w:pPr>
        <w:pStyle w:val="FirstParagraph"/>
      </w:pPr>
      <w:r>
        <w:t xml:space="preserve">The repository is public; the schemas are vendored with byte-digest provenance; the second implementation exists precisely so that no single codebase — and no single author — defines the ceremony. What we are really submitting is not a product but a</w:t>
      </w:r>
      <w:r>
        <w:t xml:space="preserve"> </w:t>
      </w:r>
      <w:r>
        <w:rPr>
          <w:b/>
          <w:bCs/>
        </w:rPr>
        <w:t xml:space="preserve">pattern for public infrastructure</w:t>
      </w:r>
      <w:r>
        <w:t xml:space="preserve">: an admission ceremony any authority can run, any agent can walk, and any third party can re-implement from the wire down. This note may be shared freely.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hyperlink" Id="rId12" Target="https://bgin-global.org/" TargetMode="External" /><Relationship Type="http://schemas.openxmlformats.org/officeDocument/2006/relationships/hyperlink" Id="rId14" Target="https://chloewhite.info/index.html" TargetMode="External" /><Relationship Type="http://schemas.openxmlformats.org/officeDocument/2006/relationships/hyperlink" Id="rId10" Target="https://github.com/trustoverip/dtgwg-zkp-tf" TargetMode="External" /><Relationship Type="http://schemas.openxmlformats.org/officeDocument/2006/relationships/hyperlink" Id="rId9" Target="https://identity.foundation/" TargetMode="External" /><Relationship Type="http://schemas.openxmlformats.org/officeDocument/2006/relationships/hyperlink" Id="rId13" Target="https://riskmastery.xyz/" TargetMode="External" /><Relationship Type="http://schemas.openxmlformats.org/officeDocument/2006/relationships/hyperlink" Id="rId11" Target="https://www.lfdecentralizedtrus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bgin-global.org/" TargetMode="External" /><Relationship Type="http://schemas.openxmlformats.org/officeDocument/2006/relationships/hyperlink" Id="rId14" Target="https://chloewhite.info/index.html" TargetMode="External" /><Relationship Type="http://schemas.openxmlformats.org/officeDocument/2006/relationships/hyperlink" Id="rId10" Target="https://github.com/trustoverip/dtgwg-zkp-tf" TargetMode="External" /><Relationship Type="http://schemas.openxmlformats.org/officeDocument/2006/relationships/hyperlink" Id="rId9" Target="https://identity.foundation/" TargetMode="External" /><Relationship Type="http://schemas.openxmlformats.org/officeDocument/2006/relationships/hyperlink" Id="rId13" Target="https://riskmastery.xyz/" TargetMode="External" /><Relationship Type="http://schemas.openxmlformats.org/officeDocument/2006/relationships/hyperlink" Id="rId11" Target="https://www.lfdecentralizedtrus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Kyra Gate — Gatehouse KY-A · Concept Note</dc:title>
  <dc:creator/>
  <cp:keywords/>
  <dcterms:created xsi:type="dcterms:W3CDTF">2026-07-29T12:29:46Z</dcterms:created>
  <dcterms:modified xsi:type="dcterms:W3CDTF">2026-07-29T12:29:46Z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29 July 2026</vt:lpwstr>
  </property>
  <property fmtid="{D5CDD505-2E9C-101B-9397-08002B2CF9AE}" pid="3" name="subtitle">
    <vt:lpwstr>CDIR Track 4 · Know Your Agent / Digital Public Infrastructure</vt:lpwstr>
  </property>
</Properties>
</file>