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97F98" w:rsidRDefault="006B79EC">
      <w:pPr>
        <w:spacing w:after="100"/>
        <w:jc w:val="center"/>
      </w:pPr>
      <w:r>
        <w:rPr>
          <w:b/>
          <w:bCs/>
          <w:color w:val="1B3A6B"/>
          <w:sz w:val="52"/>
          <w:szCs w:val="52"/>
        </w:rPr>
        <w:t>MITCON Annual Report 2025–26</w:t>
      </w:r>
    </w:p>
    <w:p w:rsidR="00597F98" w:rsidRDefault="006B79EC">
      <w:pPr>
        <w:spacing w:after="300"/>
        <w:jc w:val="center"/>
      </w:pPr>
      <w:r>
        <w:rPr>
          <w:b/>
          <w:bCs/>
          <w:color w:val="2E7D32"/>
          <w:sz w:val="30"/>
          <w:szCs w:val="30"/>
        </w:rPr>
        <w:t>Cover Concept: "Responsible AI for Just and Resilient Engineering"</w:t>
      </w:r>
    </w:p>
    <w:p w:rsidR="00597F98" w:rsidRDefault="00597F98">
      <w:pPr>
        <w:pBdr>
          <w:bottom w:val="single" w:sz="6" w:space="1" w:color="CCCCCC"/>
        </w:pBdr>
        <w:spacing w:after="240"/>
      </w:pPr>
    </w:p>
    <w:p w:rsidR="00597F98" w:rsidRDefault="006B79EC">
      <w:pPr>
        <w:pStyle w:val="Heading1"/>
        <w:spacing w:before="480" w:after="160"/>
      </w:pPr>
      <w:r>
        <w:rPr>
          <w:b/>
          <w:bCs/>
          <w:color w:val="1B3A6B"/>
          <w:sz w:val="30"/>
          <w:szCs w:val="30"/>
        </w:rPr>
        <w:t>Executive Summary: The Case for Approval</w:t>
      </w:r>
    </w:p>
    <w:p w:rsidR="00597F98" w:rsidRDefault="006B79EC">
      <w:pPr>
        <w:spacing w:after="160" w:line="300" w:lineRule="auto"/>
      </w:pPr>
      <w:r>
        <w:rPr>
          <w:sz w:val="22"/>
          <w:szCs w:val="22"/>
        </w:rPr>
        <w:t>This cover is not decoration — it is a strategic argument, rendered visually. In a single frame, it tells stakeholders, regulators, clients and employees exactly where MITCON is going: from a traditional engineering consultancy to a technology-driven susta</w:t>
      </w:r>
      <w:r>
        <w:rPr>
          <w:sz w:val="22"/>
          <w:szCs w:val="22"/>
        </w:rPr>
        <w:t>inability partner. Every element on this page — from typography to iconography — has been chosen to do one job: make that transition feel inevitable, credible, and human.</w:t>
      </w:r>
    </w:p>
    <w:p w:rsidR="00597F98" w:rsidRDefault="006B79EC">
      <w:pPr>
        <w:spacing w:after="160" w:line="300" w:lineRule="auto"/>
      </w:pPr>
      <w:r>
        <w:rPr>
          <w:sz w:val="22"/>
          <w:szCs w:val="22"/>
        </w:rPr>
        <w:t>Recommend approval as final. Below is the line-by-line rationale, section by section,</w:t>
      </w:r>
      <w:r>
        <w:rPr>
          <w:sz w:val="22"/>
          <w:szCs w:val="22"/>
        </w:rPr>
        <w:t xml:space="preserve"> with the specific reason each choice earns its place on the cover.</w:t>
      </w:r>
    </w:p>
    <w:p w:rsidR="00597F98" w:rsidRDefault="006B79EC">
      <w:pPr>
        <w:pStyle w:val="Heading1"/>
        <w:spacing w:before="480" w:after="160"/>
      </w:pPr>
      <w:r>
        <w:rPr>
          <w:b/>
          <w:bCs/>
          <w:color w:val="1B3A6B"/>
          <w:sz w:val="30"/>
          <w:szCs w:val="30"/>
        </w:rPr>
        <w:t>1. Overall Design Philosophy</w:t>
      </w:r>
    </w:p>
    <w:p w:rsidR="00597F98" w:rsidRDefault="006B79EC">
      <w:pPr>
        <w:spacing w:after="160" w:line="300" w:lineRule="auto"/>
      </w:pPr>
      <w:r>
        <w:rPr>
          <w:sz w:val="22"/>
          <w:szCs w:val="22"/>
        </w:rPr>
        <w:t>The composition follows a deliberate future-forward sustainability narrative, weaving together engineering, artificial intelligence, ESG, climate action, infra</w:t>
      </w:r>
      <w:r>
        <w:rPr>
          <w:sz w:val="22"/>
          <w:szCs w:val="22"/>
        </w:rPr>
        <w:t>structure, agriculture, human development and smart cities into one continuous scene rather than a grid of disconnected icons.</w:t>
      </w:r>
    </w:p>
    <w:p w:rsidR="00597F98" w:rsidRDefault="006B79EC">
      <w:pPr>
        <w:spacing w:after="160" w:line="300" w:lineRule="auto"/>
      </w:pPr>
      <w:r>
        <w:rPr>
          <w:sz w:val="22"/>
          <w:szCs w:val="22"/>
        </w:rPr>
        <w:t>The eye is guided along a single visual path: People → Technology → Engineering → Sustainability → Future. This is not accidental</w:t>
      </w:r>
      <w:r>
        <w:rPr>
          <w:sz w:val="22"/>
          <w:szCs w:val="22"/>
        </w:rPr>
        <w:t xml:space="preserve"> — it is directed storytelling. A viewer absorbs the report's entire thesis in the three seconds it takes to look at the cover, before reading a single word of the report itself.</w:t>
      </w:r>
    </w:p>
    <w:p w:rsidR="00597F98" w:rsidRDefault="006B79EC">
      <w:pPr>
        <w:pBdr>
          <w:top w:val="single" w:sz="6" w:space="8" w:color="2E7D32"/>
          <w:left w:val="single" w:sz="18" w:space="8" w:color="2E7D32"/>
          <w:bottom w:val="single" w:sz="6" w:space="8" w:color="2E7D32"/>
          <w:right w:val="single" w:sz="6" w:space="8" w:color="2E7D32"/>
        </w:pBdr>
        <w:shd w:val="clear" w:color="auto" w:fill="EAF3EA"/>
        <w:spacing w:before="120" w:after="280"/>
      </w:pPr>
      <w:r>
        <w:rPr>
          <w:b/>
          <w:bCs/>
          <w:color w:val="2E7D32"/>
          <w:sz w:val="21"/>
          <w:szCs w:val="21"/>
        </w:rPr>
        <w:t xml:space="preserve">WHY THIS WINS:  </w:t>
      </w:r>
      <w:r>
        <w:rPr>
          <w:sz w:val="21"/>
          <w:szCs w:val="21"/>
        </w:rPr>
        <w:t>A cover that tells a story out-performs a cover that lists se</w:t>
      </w:r>
      <w:r>
        <w:rPr>
          <w:sz w:val="21"/>
          <w:szCs w:val="21"/>
        </w:rPr>
        <w:t>rvices. This one does the strategic positioning work that would otherwise take a full page of text.</w:t>
      </w:r>
    </w:p>
    <w:p w:rsidR="00597F98" w:rsidRDefault="006B79EC">
      <w:pPr>
        <w:pStyle w:val="Heading1"/>
        <w:spacing w:before="480" w:after="160"/>
      </w:pPr>
      <w:r>
        <w:rPr>
          <w:b/>
          <w:bCs/>
          <w:color w:val="1B3A6B"/>
          <w:sz w:val="30"/>
          <w:szCs w:val="30"/>
        </w:rPr>
        <w:t>2. MITCON Branding</w:t>
      </w:r>
    </w:p>
    <w:p w:rsidR="00597F98" w:rsidRDefault="006B79EC">
      <w:pPr>
        <w:pStyle w:val="Heading2"/>
        <w:spacing w:before="280" w:after="120"/>
      </w:pPr>
      <w:r>
        <w:rPr>
          <w:b/>
          <w:bCs/>
          <w:color w:val="2E7D32"/>
          <w:sz w:val="24"/>
          <w:szCs w:val="24"/>
        </w:rPr>
        <w:t>The Logo</w:t>
      </w:r>
    </w:p>
    <w:p w:rsidR="00597F98" w:rsidRDefault="006B79EC">
      <w:pPr>
        <w:spacing w:after="160" w:line="300" w:lineRule="auto"/>
      </w:pPr>
      <w:r>
        <w:rPr>
          <w:sz w:val="22"/>
          <w:szCs w:val="22"/>
        </w:rPr>
        <w:t>Placed top-</w:t>
      </w:r>
      <w:proofErr w:type="spellStart"/>
      <w:r>
        <w:rPr>
          <w:sz w:val="22"/>
          <w:szCs w:val="22"/>
        </w:rPr>
        <w:t>center</w:t>
      </w:r>
      <w:proofErr w:type="spellEnd"/>
      <w:r>
        <w:rPr>
          <w:sz w:val="22"/>
          <w:szCs w:val="22"/>
        </w:rPr>
        <w:t xml:space="preserve"> on a clean white field, the logo is given uncontested visual priority. This position is universally read as le</w:t>
      </w:r>
      <w:r>
        <w:rPr>
          <w:sz w:val="22"/>
          <w:szCs w:val="22"/>
        </w:rPr>
        <w:t>adership, trust and corporate identity — the eye lands there first by convention, so brand recognition is instantaneous, and the white backing guarantees it never competes with the busy illustration below it.</w:t>
      </w:r>
    </w:p>
    <w:p w:rsidR="00597F98" w:rsidRDefault="006B79EC">
      <w:pPr>
        <w:pStyle w:val="Heading2"/>
        <w:spacing w:before="280" w:after="120"/>
      </w:pPr>
      <w:r>
        <w:rPr>
          <w:b/>
          <w:bCs/>
          <w:color w:val="2E7D32"/>
          <w:sz w:val="24"/>
          <w:szCs w:val="24"/>
        </w:rPr>
        <w:t>The Tagline — "Solutions for Sustainable Tomorr</w:t>
      </w:r>
      <w:r>
        <w:rPr>
          <w:b/>
          <w:bCs/>
          <w:color w:val="2E7D32"/>
          <w:sz w:val="24"/>
          <w:szCs w:val="24"/>
        </w:rPr>
        <w:t>ow"</w:t>
      </w:r>
    </w:p>
    <w:p w:rsidR="00597F98" w:rsidRDefault="006B79EC">
      <w:pPr>
        <w:spacing w:after="160" w:line="300" w:lineRule="auto"/>
      </w:pPr>
      <w:r>
        <w:rPr>
          <w:sz w:val="22"/>
          <w:szCs w:val="22"/>
        </w:rPr>
        <w:t>This line does double duty: it anchors MITCON's identity as sustainability consultant, engineering partner, ESG advisor and technology organization in one breath, and it hands the reader the theme of the entire report before they turn a single page.</w:t>
      </w:r>
    </w:p>
    <w:p w:rsidR="00597F98" w:rsidRDefault="006B79EC">
      <w:pPr>
        <w:pBdr>
          <w:top w:val="single" w:sz="6" w:space="8" w:color="2E7D32"/>
          <w:left w:val="single" w:sz="18" w:space="8" w:color="2E7D32"/>
          <w:bottom w:val="single" w:sz="6" w:space="8" w:color="2E7D32"/>
          <w:right w:val="single" w:sz="6" w:space="8" w:color="2E7D32"/>
        </w:pBdr>
        <w:shd w:val="clear" w:color="auto" w:fill="EAF3EA"/>
        <w:spacing w:before="120" w:after="280"/>
      </w:pPr>
      <w:r>
        <w:rPr>
          <w:b/>
          <w:bCs/>
          <w:color w:val="2E7D32"/>
          <w:sz w:val="21"/>
          <w:szCs w:val="21"/>
        </w:rPr>
        <w:lastRenderedPageBreak/>
        <w:t xml:space="preserve">WHY THIS WINS:  </w:t>
      </w:r>
      <w:r>
        <w:rPr>
          <w:sz w:val="21"/>
          <w:szCs w:val="21"/>
        </w:rPr>
        <w:t>Brand recognition and message alignment are both secured in the first glance — no ambiguity about who is speaking or what they stand for.</w:t>
      </w:r>
    </w:p>
    <w:p w:rsidR="00597F98" w:rsidRDefault="006B79EC">
      <w:pPr>
        <w:pStyle w:val="Heading1"/>
        <w:spacing w:before="480" w:after="160"/>
      </w:pPr>
      <w:r>
        <w:rPr>
          <w:b/>
          <w:bCs/>
          <w:color w:val="1B3A6B"/>
          <w:sz w:val="30"/>
          <w:szCs w:val="30"/>
        </w:rPr>
        <w:t>3. Main Title Typography</w:t>
      </w:r>
    </w:p>
    <w:p w:rsidR="00597F98" w:rsidRDefault="006B79EC">
      <w:pPr>
        <w:pStyle w:val="Heading2"/>
        <w:spacing w:before="280" w:after="120"/>
      </w:pPr>
      <w:r>
        <w:rPr>
          <w:b/>
          <w:bCs/>
          <w:color w:val="2E7D32"/>
          <w:sz w:val="24"/>
          <w:szCs w:val="24"/>
        </w:rPr>
        <w:t>"Responsible AI" (green)</w:t>
      </w:r>
    </w:p>
    <w:p w:rsidR="00597F98" w:rsidRDefault="006B79EC">
      <w:pPr>
        <w:spacing w:after="160" w:line="300" w:lineRule="auto"/>
      </w:pPr>
      <w:r>
        <w:rPr>
          <w:sz w:val="22"/>
          <w:szCs w:val="22"/>
        </w:rPr>
        <w:t>Rendering the primary message in green immediately b</w:t>
      </w:r>
      <w:r>
        <w:rPr>
          <w:sz w:val="22"/>
          <w:szCs w:val="22"/>
        </w:rPr>
        <w:t xml:space="preserve">orrows the emotional register of ethics and sustainability before the reader has parsed the words. "Responsible" signals that this is AI positioned as ethical, transparent, fair, explainable and human-centric — a deliberate contrast to AI framed purely as </w:t>
      </w:r>
      <w:r>
        <w:rPr>
          <w:sz w:val="22"/>
          <w:szCs w:val="22"/>
        </w:rPr>
        <w:t>automation.</w:t>
      </w:r>
    </w:p>
    <w:p w:rsidR="00597F98" w:rsidRDefault="006B79EC">
      <w:pPr>
        <w:pStyle w:val="Heading2"/>
        <w:spacing w:before="280" w:after="120"/>
      </w:pPr>
      <w:r>
        <w:rPr>
          <w:b/>
          <w:bCs/>
          <w:color w:val="2E7D32"/>
          <w:sz w:val="24"/>
          <w:szCs w:val="24"/>
        </w:rPr>
        <w:t>"FOR" (bridge typography)</w:t>
      </w:r>
    </w:p>
    <w:p w:rsidR="00597F98" w:rsidRDefault="006B79EC">
      <w:pPr>
        <w:spacing w:after="160" w:line="300" w:lineRule="auto"/>
      </w:pPr>
      <w:r>
        <w:rPr>
          <w:sz w:val="22"/>
          <w:szCs w:val="22"/>
        </w:rPr>
        <w:t>This small connective word is a typographic device, not filler. It tells the reader that Responsible AI exists in service of something larger — it sets up the payoff in the next line rather than leaving the headline to</w:t>
      </w:r>
      <w:r>
        <w:rPr>
          <w:sz w:val="22"/>
          <w:szCs w:val="22"/>
        </w:rPr>
        <w:t xml:space="preserve"> end on a buzzword.</w:t>
      </w:r>
    </w:p>
    <w:p w:rsidR="00597F98" w:rsidRDefault="006B79EC">
      <w:pPr>
        <w:pStyle w:val="Heading2"/>
        <w:spacing w:before="280" w:after="120"/>
      </w:pPr>
      <w:r>
        <w:rPr>
          <w:b/>
          <w:bCs/>
          <w:color w:val="2E7D32"/>
          <w:sz w:val="24"/>
          <w:szCs w:val="24"/>
        </w:rPr>
        <w:t>"Just and Resilient" (blue)</w:t>
      </w:r>
    </w:p>
    <w:p w:rsidR="00597F98" w:rsidRDefault="006B79EC">
      <w:pPr>
        <w:spacing w:after="160" w:line="300" w:lineRule="auto"/>
      </w:pPr>
      <w:r>
        <w:rPr>
          <w:sz w:val="22"/>
          <w:szCs w:val="22"/>
        </w:rPr>
        <w:t>Blue shifts the register from ethics to governance and engineering precision. "Just" signals that engineering decisions should benefit everyone; "Resilient" signals infrastructure built to withstand climate c</w:t>
      </w:r>
      <w:r>
        <w:rPr>
          <w:sz w:val="22"/>
          <w:szCs w:val="22"/>
        </w:rPr>
        <w:t>hange, digital transformation, economic shocks and future risk.</w:t>
      </w:r>
    </w:p>
    <w:p w:rsidR="00597F98" w:rsidRDefault="006B79EC">
      <w:pPr>
        <w:pStyle w:val="Heading2"/>
        <w:spacing w:before="280" w:after="120"/>
      </w:pPr>
      <w:r>
        <w:rPr>
          <w:b/>
          <w:bCs/>
          <w:color w:val="2E7D32"/>
          <w:sz w:val="24"/>
          <w:szCs w:val="24"/>
        </w:rPr>
        <w:t>"Engineering" (largest type)</w:t>
      </w:r>
    </w:p>
    <w:p w:rsidR="00597F98" w:rsidRDefault="006B79EC">
      <w:pPr>
        <w:spacing w:after="160" w:line="300" w:lineRule="auto"/>
      </w:pPr>
      <w:r>
        <w:rPr>
          <w:sz w:val="22"/>
          <w:szCs w:val="22"/>
        </w:rPr>
        <w:t>This is the single most important typographic decision on the page. By making "Engineering" the largest word, the hierarchy states unambiguously: Engineering First</w:t>
      </w:r>
      <w:r>
        <w:rPr>
          <w:sz w:val="22"/>
          <w:szCs w:val="22"/>
        </w:rPr>
        <w:t>, Technology Second. AI supports engineering; it does not replace it. This one sizing choice pre-empts any stakeholder concern that MITCON is drifting from its core competency.</w:t>
      </w:r>
    </w:p>
    <w:p w:rsidR="00597F98" w:rsidRDefault="006B79EC">
      <w:pPr>
        <w:pBdr>
          <w:top w:val="single" w:sz="6" w:space="8" w:color="2E7D32"/>
          <w:left w:val="single" w:sz="18" w:space="8" w:color="2E7D32"/>
          <w:bottom w:val="single" w:sz="6" w:space="8" w:color="2E7D32"/>
          <w:right w:val="single" w:sz="6" w:space="8" w:color="2E7D32"/>
        </w:pBdr>
        <w:shd w:val="clear" w:color="auto" w:fill="EAF3EA"/>
        <w:spacing w:before="120" w:after="280"/>
      </w:pPr>
      <w:r>
        <w:rPr>
          <w:b/>
          <w:bCs/>
          <w:color w:val="2E7D32"/>
          <w:sz w:val="21"/>
          <w:szCs w:val="21"/>
        </w:rPr>
        <w:t xml:space="preserve">WHY THIS WINS:  </w:t>
      </w:r>
      <w:r>
        <w:rPr>
          <w:sz w:val="21"/>
          <w:szCs w:val="21"/>
        </w:rPr>
        <w:t xml:space="preserve">The type hierarchy is a compressed mission statement — ethics, </w:t>
      </w:r>
      <w:r>
        <w:rPr>
          <w:sz w:val="21"/>
          <w:szCs w:val="21"/>
        </w:rPr>
        <w:t xml:space="preserve">governance, and engineering primacy are all communicated through size and </w:t>
      </w:r>
      <w:proofErr w:type="spellStart"/>
      <w:r>
        <w:rPr>
          <w:sz w:val="21"/>
          <w:szCs w:val="21"/>
        </w:rPr>
        <w:t>color</w:t>
      </w:r>
      <w:proofErr w:type="spellEnd"/>
      <w:r>
        <w:rPr>
          <w:sz w:val="21"/>
          <w:szCs w:val="21"/>
        </w:rPr>
        <w:t xml:space="preserve"> alone, before a single sentence of body copy is read.</w:t>
      </w:r>
    </w:p>
    <w:p w:rsidR="00597F98" w:rsidRDefault="006B79EC">
      <w:pPr>
        <w:pStyle w:val="Heading1"/>
        <w:spacing w:before="480" w:after="160"/>
      </w:pPr>
      <w:r>
        <w:rPr>
          <w:b/>
          <w:bCs/>
          <w:color w:val="1B3A6B"/>
          <w:sz w:val="30"/>
          <w:szCs w:val="30"/>
        </w:rPr>
        <w:t xml:space="preserve">4. </w:t>
      </w:r>
      <w:proofErr w:type="spellStart"/>
      <w:r>
        <w:rPr>
          <w:b/>
          <w:bCs/>
          <w:color w:val="1B3A6B"/>
          <w:sz w:val="30"/>
          <w:szCs w:val="30"/>
        </w:rPr>
        <w:t>Color</w:t>
      </w:r>
      <w:proofErr w:type="spellEnd"/>
      <w:r>
        <w:rPr>
          <w:b/>
          <w:bCs/>
          <w:color w:val="1B3A6B"/>
          <w:sz w:val="30"/>
          <w:szCs w:val="30"/>
        </w:rPr>
        <w:t xml:space="preserve"> Psychology</w:t>
      </w:r>
    </w:p>
    <w:p w:rsidR="00597F98" w:rsidRDefault="006B79EC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Deep Blue — intelligence, corporate governance, reliability, trust, professionalism; the natural </w:t>
      </w:r>
      <w:proofErr w:type="spellStart"/>
      <w:r>
        <w:rPr>
          <w:sz w:val="22"/>
          <w:szCs w:val="22"/>
        </w:rPr>
        <w:t>color</w:t>
      </w:r>
      <w:proofErr w:type="spellEnd"/>
      <w:r>
        <w:rPr>
          <w:sz w:val="22"/>
          <w:szCs w:val="22"/>
        </w:rPr>
        <w:t xml:space="preserve"> of engineering and technology.</w:t>
      </w:r>
    </w:p>
    <w:p w:rsidR="00597F98" w:rsidRDefault="006B79EC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Green — ESG, sustainability, nature, renewable energy, climate action; it also softens the AI narrative so the technology reads as approachable rather than cold.</w:t>
      </w:r>
    </w:p>
    <w:p w:rsidR="00597F98" w:rsidRDefault="006B79EC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White — transparency, integrity, ethical governance, clarity; directly reinforcing Responsible AI principles.</w:t>
      </w:r>
    </w:p>
    <w:p w:rsidR="00597F98" w:rsidRDefault="006B79EC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Sky Gradient — optimism, innovation, future opportunity and hope, giving the whole scene forward motion.</w:t>
      </w:r>
    </w:p>
    <w:p w:rsidR="00597F98" w:rsidRDefault="006B79EC">
      <w:pPr>
        <w:pBdr>
          <w:top w:val="single" w:sz="6" w:space="8" w:color="2E7D32"/>
          <w:left w:val="single" w:sz="18" w:space="8" w:color="2E7D32"/>
          <w:bottom w:val="single" w:sz="6" w:space="8" w:color="2E7D32"/>
          <w:right w:val="single" w:sz="6" w:space="8" w:color="2E7D32"/>
        </w:pBdr>
        <w:shd w:val="clear" w:color="auto" w:fill="EAF3EA"/>
        <w:spacing w:before="120" w:after="280"/>
      </w:pPr>
      <w:r>
        <w:rPr>
          <w:b/>
          <w:bCs/>
          <w:color w:val="2E7D32"/>
          <w:sz w:val="21"/>
          <w:szCs w:val="21"/>
        </w:rPr>
        <w:t xml:space="preserve">WHY THIS WINS:  </w:t>
      </w:r>
      <w:r>
        <w:rPr>
          <w:sz w:val="21"/>
          <w:szCs w:val="21"/>
        </w:rPr>
        <w:t>Every brand pillar MITCON</w:t>
      </w:r>
      <w:r>
        <w:rPr>
          <w:sz w:val="21"/>
          <w:szCs w:val="21"/>
        </w:rPr>
        <w:t xml:space="preserve"> needs to project — trust, sustainability, transparency, optimism — is already present before the viewer reads a single caption.</w:t>
      </w:r>
    </w:p>
    <w:p w:rsidR="00597F98" w:rsidRDefault="006B79EC">
      <w:pPr>
        <w:pStyle w:val="Heading1"/>
        <w:spacing w:before="480" w:after="160"/>
      </w:pPr>
      <w:r>
        <w:rPr>
          <w:b/>
          <w:bCs/>
          <w:color w:val="1B3A6B"/>
          <w:sz w:val="30"/>
          <w:szCs w:val="30"/>
        </w:rPr>
        <w:lastRenderedPageBreak/>
        <w:t>5. Artificial Intelligence Representation</w:t>
      </w:r>
    </w:p>
    <w:p w:rsidR="00597F98" w:rsidRDefault="006B79EC">
      <w:pPr>
        <w:pStyle w:val="Heading2"/>
        <w:spacing w:before="280" w:after="120"/>
      </w:pPr>
      <w:r>
        <w:rPr>
          <w:b/>
          <w:bCs/>
          <w:color w:val="2E7D32"/>
          <w:sz w:val="24"/>
          <w:szCs w:val="24"/>
        </w:rPr>
        <w:t>The Digital Human Face</w:t>
      </w:r>
    </w:p>
    <w:p w:rsidR="00597F98" w:rsidRDefault="006B79EC">
      <w:pPr>
        <w:spacing w:after="160" w:line="300" w:lineRule="auto"/>
      </w:pPr>
      <w:r>
        <w:rPr>
          <w:sz w:val="22"/>
          <w:szCs w:val="22"/>
        </w:rPr>
        <w:t xml:space="preserve">Positioned upper-right, this is the strongest symbolic device </w:t>
      </w:r>
      <w:r>
        <w:rPr>
          <w:sz w:val="22"/>
          <w:szCs w:val="22"/>
        </w:rPr>
        <w:t>on the cover: AI rendered as a human face, not a robot. It is drawn transparent, connected and glowing softly in blue, precisely to communicate that intelligence here is human-</w:t>
      </w:r>
      <w:proofErr w:type="spellStart"/>
      <w:r>
        <w:rPr>
          <w:sz w:val="22"/>
          <w:szCs w:val="22"/>
        </w:rPr>
        <w:t>centered</w:t>
      </w:r>
      <w:proofErr w:type="spellEnd"/>
      <w:r>
        <w:rPr>
          <w:sz w:val="22"/>
          <w:szCs w:val="22"/>
        </w:rPr>
        <w:t>, ethical and enabling — never dominating.</w:t>
      </w:r>
    </w:p>
    <w:p w:rsidR="00597F98" w:rsidRDefault="006B79EC">
      <w:pPr>
        <w:pStyle w:val="Heading2"/>
        <w:spacing w:before="280" w:after="120"/>
      </w:pPr>
      <w:r>
        <w:rPr>
          <w:b/>
          <w:bCs/>
          <w:color w:val="2E7D32"/>
          <w:sz w:val="24"/>
          <w:szCs w:val="24"/>
        </w:rPr>
        <w:t>The Network Lines and Floating Icons</w:t>
      </w:r>
    </w:p>
    <w:p w:rsidR="00597F98" w:rsidRDefault="006B79EC">
      <w:pPr>
        <w:spacing w:after="160" w:line="300" w:lineRule="auto"/>
      </w:pPr>
      <w:r>
        <w:rPr>
          <w:sz w:val="22"/>
          <w:szCs w:val="22"/>
        </w:rPr>
        <w:t>Surrounding the face, subtle network lines stand in for machine learning, neural networks and data intelligence, while the floating icons — cloud computing, digital governance, smart infrastructure, connected communitie</w:t>
      </w:r>
      <w:r>
        <w:rPr>
          <w:sz w:val="22"/>
          <w:szCs w:val="22"/>
        </w:rPr>
        <w:t>s — build out AI as an interconnected ecosystem rather than a single gadget.</w:t>
      </w:r>
    </w:p>
    <w:p w:rsidR="00597F98" w:rsidRDefault="006B79EC">
      <w:pPr>
        <w:pBdr>
          <w:top w:val="single" w:sz="6" w:space="8" w:color="2E7D32"/>
          <w:left w:val="single" w:sz="18" w:space="8" w:color="2E7D32"/>
          <w:bottom w:val="single" w:sz="6" w:space="8" w:color="2E7D32"/>
          <w:right w:val="single" w:sz="6" w:space="8" w:color="2E7D32"/>
        </w:pBdr>
        <w:shd w:val="clear" w:color="auto" w:fill="EAF3EA"/>
        <w:spacing w:before="120" w:after="280"/>
      </w:pPr>
      <w:r>
        <w:rPr>
          <w:b/>
          <w:bCs/>
          <w:color w:val="2E7D32"/>
          <w:sz w:val="21"/>
          <w:szCs w:val="21"/>
        </w:rPr>
        <w:t xml:space="preserve">WHY THIS WINS:  </w:t>
      </w:r>
      <w:r>
        <w:rPr>
          <w:sz w:val="21"/>
          <w:szCs w:val="21"/>
        </w:rPr>
        <w:t>This is the safest, most stakeholder-friendly way to depict AI in a serious corporate report: it reassures rather than alarms, and it visually rules out any "AI re</w:t>
      </w:r>
      <w:r>
        <w:rPr>
          <w:sz w:val="21"/>
          <w:szCs w:val="21"/>
        </w:rPr>
        <w:t>placing workers" reading before it can even form.</w:t>
      </w:r>
    </w:p>
    <w:p w:rsidR="00597F98" w:rsidRDefault="006B79EC">
      <w:pPr>
        <w:pStyle w:val="Heading1"/>
        <w:spacing w:before="480" w:after="160"/>
      </w:pPr>
      <w:r>
        <w:rPr>
          <w:b/>
          <w:bCs/>
          <w:color w:val="1B3A6B"/>
          <w:sz w:val="30"/>
          <w:szCs w:val="30"/>
        </w:rPr>
        <w:t>6. Renewable Energy Landscape</w:t>
      </w:r>
    </w:p>
    <w:p w:rsidR="00597F98" w:rsidRDefault="006B79EC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Wind Turbines — renewable energy, net-zero transition, clean power, </w:t>
      </w:r>
      <w:proofErr w:type="spellStart"/>
      <w:r>
        <w:rPr>
          <w:sz w:val="22"/>
          <w:szCs w:val="22"/>
        </w:rPr>
        <w:t>decarbonization</w:t>
      </w:r>
      <w:proofErr w:type="spellEnd"/>
      <w:r>
        <w:rPr>
          <w:sz w:val="22"/>
          <w:szCs w:val="22"/>
        </w:rPr>
        <w:t>; direct visual proof of MITCON's energy-consulting expertise.</w:t>
      </w:r>
    </w:p>
    <w:p w:rsidR="00597F98" w:rsidRDefault="006B79EC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Solar Panels — clean energy, i</w:t>
      </w:r>
      <w:r>
        <w:rPr>
          <w:sz w:val="22"/>
          <w:szCs w:val="22"/>
        </w:rPr>
        <w:t>nnovation, energy independence, climate responsibility.</w:t>
      </w:r>
    </w:p>
    <w:p w:rsidR="00597F98" w:rsidRDefault="006B79EC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Mountains — stability, endurance and long-term vision, reminding the viewer that engineering should last for generations, not quarters.</w:t>
      </w:r>
    </w:p>
    <w:p w:rsidR="00597F98" w:rsidRDefault="006B79EC">
      <w:pPr>
        <w:pBdr>
          <w:top w:val="single" w:sz="6" w:space="8" w:color="2E7D32"/>
          <w:left w:val="single" w:sz="18" w:space="8" w:color="2E7D32"/>
          <w:bottom w:val="single" w:sz="6" w:space="8" w:color="2E7D32"/>
          <w:right w:val="single" w:sz="6" w:space="8" w:color="2E7D32"/>
        </w:pBdr>
        <w:shd w:val="clear" w:color="auto" w:fill="EAF3EA"/>
        <w:spacing w:before="120" w:after="280"/>
      </w:pPr>
      <w:r>
        <w:rPr>
          <w:b/>
          <w:bCs/>
          <w:color w:val="2E7D32"/>
          <w:sz w:val="21"/>
          <w:szCs w:val="21"/>
        </w:rPr>
        <w:t xml:space="preserve">WHY THIS WINS:  </w:t>
      </w:r>
      <w:r>
        <w:rPr>
          <w:sz w:val="21"/>
          <w:szCs w:val="21"/>
        </w:rPr>
        <w:t>Three assets, three service lines instantly reco</w:t>
      </w:r>
      <w:r>
        <w:rPr>
          <w:sz w:val="21"/>
          <w:szCs w:val="21"/>
        </w:rPr>
        <w:t>gnizable to any ESG-literate stakeholder — this is portfolio credibility delivered as landscape, not as a bullet-point services page.</w:t>
      </w:r>
    </w:p>
    <w:p w:rsidR="00597F98" w:rsidRDefault="006B79EC">
      <w:pPr>
        <w:pStyle w:val="Heading1"/>
        <w:spacing w:before="480" w:after="160"/>
      </w:pPr>
      <w:r>
        <w:rPr>
          <w:b/>
          <w:bCs/>
          <w:color w:val="1B3A6B"/>
          <w:sz w:val="30"/>
          <w:szCs w:val="30"/>
        </w:rPr>
        <w:t>7. Smart City and High-Speed Rail</w:t>
      </w:r>
    </w:p>
    <w:p w:rsidR="00597F98" w:rsidRDefault="006B79EC">
      <w:pPr>
        <w:spacing w:after="160" w:line="300" w:lineRule="auto"/>
      </w:pPr>
      <w:r>
        <w:rPr>
          <w:sz w:val="22"/>
          <w:szCs w:val="22"/>
        </w:rPr>
        <w:t>The skyline represents urban development, infrastructure planning, digital cities and fu</w:t>
      </w:r>
      <w:r>
        <w:rPr>
          <w:sz w:val="22"/>
          <w:szCs w:val="22"/>
        </w:rPr>
        <w:t>ture engineering, while the greenery woven through it makes the point that cities can grow without sacrificing environmental sustainability — balanced urbanization, illustrated rather than asserted.</w:t>
      </w:r>
    </w:p>
    <w:p w:rsidR="00597F98" w:rsidRDefault="006B79EC">
      <w:pPr>
        <w:spacing w:after="160" w:line="300" w:lineRule="auto"/>
      </w:pPr>
      <w:r>
        <w:rPr>
          <w:sz w:val="22"/>
          <w:szCs w:val="22"/>
        </w:rPr>
        <w:t>The high-speed train adds smart mobility, sustainable tra</w:t>
      </w:r>
      <w:r>
        <w:rPr>
          <w:sz w:val="22"/>
          <w:szCs w:val="22"/>
        </w:rPr>
        <w:t>nsportation and low-carbon transit to the same frame, reinforcing engineering efficiency and future-ready public infrastructure.</w:t>
      </w:r>
    </w:p>
    <w:p w:rsidR="00597F98" w:rsidRDefault="006B79EC">
      <w:pPr>
        <w:pBdr>
          <w:top w:val="single" w:sz="6" w:space="8" w:color="2E7D32"/>
          <w:left w:val="single" w:sz="18" w:space="8" w:color="2E7D32"/>
          <w:bottom w:val="single" w:sz="6" w:space="8" w:color="2E7D32"/>
          <w:right w:val="single" w:sz="6" w:space="8" w:color="2E7D32"/>
        </w:pBdr>
        <w:shd w:val="clear" w:color="auto" w:fill="EAF3EA"/>
        <w:spacing w:before="120" w:after="280"/>
      </w:pPr>
      <w:r>
        <w:rPr>
          <w:b/>
          <w:bCs/>
          <w:color w:val="2E7D32"/>
          <w:sz w:val="21"/>
          <w:szCs w:val="21"/>
        </w:rPr>
        <w:t xml:space="preserve">WHY THIS WINS:  </w:t>
      </w:r>
      <w:r>
        <w:rPr>
          <w:sz w:val="21"/>
          <w:szCs w:val="21"/>
        </w:rPr>
        <w:t>Urban and mobility credibility are established side by side, showing MITCON operating at both building and city</w:t>
      </w:r>
      <w:r>
        <w:rPr>
          <w:sz w:val="21"/>
          <w:szCs w:val="21"/>
        </w:rPr>
        <w:t xml:space="preserve"> scale.</w:t>
      </w:r>
    </w:p>
    <w:p w:rsidR="00597F98" w:rsidRDefault="006B79EC">
      <w:pPr>
        <w:pStyle w:val="Heading1"/>
        <w:spacing w:before="480" w:after="160"/>
      </w:pPr>
      <w:r>
        <w:rPr>
          <w:b/>
          <w:bCs/>
          <w:color w:val="1B3A6B"/>
          <w:sz w:val="30"/>
          <w:szCs w:val="30"/>
        </w:rPr>
        <w:t>8. Hydroelectric Dam</w:t>
      </w:r>
    </w:p>
    <w:p w:rsidR="00597F98" w:rsidRDefault="006B79EC">
      <w:pPr>
        <w:spacing w:after="160" w:line="300" w:lineRule="auto"/>
      </w:pPr>
      <w:r>
        <w:rPr>
          <w:sz w:val="22"/>
          <w:szCs w:val="22"/>
        </w:rPr>
        <w:t xml:space="preserve">Placed centrally, the dam represents water resource management, renewable energy, infrastructure resilience and climate adaptation. Because water visually threads through every section of the landscape, it becomes the </w:t>
      </w:r>
      <w:r>
        <w:rPr>
          <w:sz w:val="22"/>
          <w:szCs w:val="22"/>
        </w:rPr>
        <w:lastRenderedPageBreak/>
        <w:t>connectiv</w:t>
      </w:r>
      <w:r>
        <w:rPr>
          <w:sz w:val="22"/>
          <w:szCs w:val="22"/>
        </w:rPr>
        <w:t>e tissue of the whole illustration — a quiet but effective way of saying sustainability underpins everything MITCON builds.</w:t>
      </w:r>
    </w:p>
    <w:p w:rsidR="00597F98" w:rsidRDefault="006B79EC">
      <w:pPr>
        <w:pBdr>
          <w:top w:val="single" w:sz="6" w:space="8" w:color="2E7D32"/>
          <w:left w:val="single" w:sz="18" w:space="8" w:color="2E7D32"/>
          <w:bottom w:val="single" w:sz="6" w:space="8" w:color="2E7D32"/>
          <w:right w:val="single" w:sz="6" w:space="8" w:color="2E7D32"/>
        </w:pBdr>
        <w:shd w:val="clear" w:color="auto" w:fill="EAF3EA"/>
        <w:spacing w:before="120" w:after="280"/>
      </w:pPr>
      <w:r>
        <w:rPr>
          <w:b/>
          <w:bCs/>
          <w:color w:val="2E7D32"/>
          <w:sz w:val="21"/>
          <w:szCs w:val="21"/>
        </w:rPr>
        <w:t xml:space="preserve">WHY THIS WINS:  </w:t>
      </w:r>
      <w:r>
        <w:rPr>
          <w:sz w:val="21"/>
          <w:szCs w:val="21"/>
        </w:rPr>
        <w:t>A single central image does the work of a whole paragraph explaining cross-sector integration.</w:t>
      </w:r>
    </w:p>
    <w:p w:rsidR="00597F98" w:rsidRDefault="006B79EC">
      <w:pPr>
        <w:pStyle w:val="Heading1"/>
        <w:spacing w:before="480" w:after="160"/>
      </w:pPr>
      <w:r>
        <w:rPr>
          <w:b/>
          <w:bCs/>
          <w:color w:val="1B3A6B"/>
          <w:sz w:val="30"/>
          <w:szCs w:val="30"/>
        </w:rPr>
        <w:t>9. Agriculture and Dr</w:t>
      </w:r>
      <w:r>
        <w:rPr>
          <w:b/>
          <w:bCs/>
          <w:color w:val="1B3A6B"/>
          <w:sz w:val="30"/>
          <w:szCs w:val="30"/>
        </w:rPr>
        <w:t>one Technology</w:t>
      </w:r>
    </w:p>
    <w:p w:rsidR="00597F98" w:rsidRDefault="006B79EC">
      <w:pPr>
        <w:spacing w:after="160" w:line="300" w:lineRule="auto"/>
      </w:pPr>
      <w:r>
        <w:rPr>
          <w:sz w:val="22"/>
          <w:szCs w:val="22"/>
        </w:rPr>
        <w:t>The farmland speaks to food security, rural development, precision agriculture and climate-smart farming; the tractor signals that traditional agriculture is being enhanced, not replaced, by modern technology. The drone above it adds precisi</w:t>
      </w:r>
      <w:r>
        <w:rPr>
          <w:sz w:val="22"/>
          <w:szCs w:val="22"/>
        </w:rPr>
        <w:t>on surveying, GIS mapping, environmental monitoring and infrastructure inspection — the clearest possible bridge between engineering and digital innovation.</w:t>
      </w:r>
    </w:p>
    <w:p w:rsidR="00597F98" w:rsidRDefault="006B79EC">
      <w:pPr>
        <w:pBdr>
          <w:top w:val="single" w:sz="6" w:space="8" w:color="2E7D32"/>
          <w:left w:val="single" w:sz="18" w:space="8" w:color="2E7D32"/>
          <w:bottom w:val="single" w:sz="6" w:space="8" w:color="2E7D32"/>
          <w:right w:val="single" w:sz="6" w:space="8" w:color="2E7D32"/>
        </w:pBdr>
        <w:shd w:val="clear" w:color="auto" w:fill="EAF3EA"/>
        <w:spacing w:before="120" w:after="280"/>
      </w:pPr>
      <w:r>
        <w:rPr>
          <w:b/>
          <w:bCs/>
          <w:color w:val="2E7D32"/>
          <w:sz w:val="21"/>
          <w:szCs w:val="21"/>
        </w:rPr>
        <w:t xml:space="preserve">WHY THIS WINS:  </w:t>
      </w:r>
      <w:r>
        <w:rPr>
          <w:sz w:val="21"/>
          <w:szCs w:val="21"/>
        </w:rPr>
        <w:t>This pairing proves the Responsible AI message extends beyond cities and energy int</w:t>
      </w:r>
      <w:r>
        <w:rPr>
          <w:sz w:val="21"/>
          <w:szCs w:val="21"/>
        </w:rPr>
        <w:t>o livelihoods — closing a gap that a purely urban/industrial cover would leave open.</w:t>
      </w:r>
    </w:p>
    <w:p w:rsidR="00597F98" w:rsidRDefault="006B79EC">
      <w:pPr>
        <w:pStyle w:val="Heading1"/>
        <w:spacing w:before="480" w:after="160"/>
      </w:pPr>
      <w:r>
        <w:rPr>
          <w:b/>
          <w:bCs/>
          <w:color w:val="1B3A6B"/>
          <w:sz w:val="30"/>
          <w:szCs w:val="30"/>
        </w:rPr>
        <w:t>10. Human Figures — The Most Important Storytelling Layer</w:t>
      </w:r>
    </w:p>
    <w:p w:rsidR="00597F98" w:rsidRDefault="006B79EC">
      <w:pPr>
        <w:spacing w:after="160" w:line="300" w:lineRule="auto"/>
      </w:pPr>
      <w:r>
        <w:rPr>
          <w:sz w:val="22"/>
          <w:szCs w:val="22"/>
        </w:rPr>
        <w:t>Rather than populating the scene with engineers alone, the illustration includes adults, children, communities an</w:t>
      </w:r>
      <w:r>
        <w:rPr>
          <w:sz w:val="22"/>
          <w:szCs w:val="22"/>
        </w:rPr>
        <w:t>d professionals together. This single decision is what keeps the cover from reading as a cold technology showcase.</w:t>
      </w:r>
    </w:p>
    <w:p w:rsidR="00597F98" w:rsidRDefault="006B79EC">
      <w:pPr>
        <w:pStyle w:val="Heading2"/>
        <w:spacing w:before="280" w:after="120"/>
      </w:pPr>
      <w:r>
        <w:rPr>
          <w:b/>
          <w:bCs/>
          <w:color w:val="2E7D32"/>
          <w:sz w:val="24"/>
          <w:szCs w:val="24"/>
        </w:rPr>
        <w:t>Engineer with Helmet</w:t>
      </w:r>
    </w:p>
    <w:p w:rsidR="00597F98" w:rsidRDefault="006B79EC">
      <w:pPr>
        <w:spacing w:after="160" w:line="300" w:lineRule="auto"/>
      </w:pPr>
      <w:r>
        <w:rPr>
          <w:sz w:val="22"/>
          <w:szCs w:val="22"/>
        </w:rPr>
        <w:t>Represents technical expertise, safety, infrastructure execution and professional accountability; the MITCON logo on the helmet reinforces brand ownership of responsible engineering at the point of execution, not just at the boardroom level.</w:t>
      </w:r>
    </w:p>
    <w:p w:rsidR="00597F98" w:rsidRDefault="006B79EC">
      <w:pPr>
        <w:pStyle w:val="Heading2"/>
        <w:spacing w:before="280" w:after="120"/>
      </w:pPr>
      <w:r>
        <w:rPr>
          <w:b/>
          <w:bCs/>
          <w:color w:val="2E7D32"/>
          <w:sz w:val="24"/>
          <w:szCs w:val="24"/>
        </w:rPr>
        <w:t>Children</w:t>
      </w:r>
    </w:p>
    <w:p w:rsidR="00597F98" w:rsidRDefault="006B79EC">
      <w:pPr>
        <w:spacing w:after="160" w:line="300" w:lineRule="auto"/>
      </w:pPr>
      <w:r>
        <w:rPr>
          <w:sz w:val="22"/>
          <w:szCs w:val="22"/>
        </w:rPr>
        <w:t>Symbo</w:t>
      </w:r>
      <w:r>
        <w:rPr>
          <w:sz w:val="22"/>
          <w:szCs w:val="22"/>
        </w:rPr>
        <w:t>lize future generations, long-term sustainability, legacy and inclusive development — a visual reminder that today's engineering decisions shape tomorrow's world.</w:t>
      </w:r>
    </w:p>
    <w:p w:rsidR="00597F98" w:rsidRDefault="006B79EC">
      <w:pPr>
        <w:pStyle w:val="Heading2"/>
        <w:spacing w:before="280" w:after="120"/>
      </w:pPr>
      <w:r>
        <w:rPr>
          <w:b/>
          <w:bCs/>
          <w:color w:val="2E7D32"/>
          <w:sz w:val="24"/>
          <w:szCs w:val="24"/>
        </w:rPr>
        <w:t>Family</w:t>
      </w:r>
    </w:p>
    <w:p w:rsidR="00597F98" w:rsidRDefault="006B79EC">
      <w:pPr>
        <w:spacing w:after="160" w:line="300" w:lineRule="auto"/>
      </w:pPr>
      <w:r>
        <w:rPr>
          <w:sz w:val="22"/>
          <w:szCs w:val="22"/>
        </w:rPr>
        <w:t xml:space="preserve">Represents society, community participation and stakeholder engagement, giving visual </w:t>
      </w:r>
      <w:r>
        <w:rPr>
          <w:sz w:val="22"/>
          <w:szCs w:val="22"/>
        </w:rPr>
        <w:t>form to ESG's social dimension.</w:t>
      </w:r>
    </w:p>
    <w:p w:rsidR="00597F98" w:rsidRDefault="006B79EC">
      <w:pPr>
        <w:pBdr>
          <w:top w:val="single" w:sz="6" w:space="8" w:color="2E7D32"/>
          <w:left w:val="single" w:sz="18" w:space="8" w:color="2E7D32"/>
          <w:bottom w:val="single" w:sz="6" w:space="8" w:color="2E7D32"/>
          <w:right w:val="single" w:sz="6" w:space="8" w:color="2E7D32"/>
        </w:pBdr>
        <w:shd w:val="clear" w:color="auto" w:fill="EAF3EA"/>
        <w:spacing w:before="120" w:after="280"/>
      </w:pPr>
      <w:r>
        <w:rPr>
          <w:b/>
          <w:bCs/>
          <w:color w:val="2E7D32"/>
          <w:sz w:val="21"/>
          <w:szCs w:val="21"/>
        </w:rPr>
        <w:t xml:space="preserve">WHY THIS WINS:  </w:t>
      </w:r>
      <w:r>
        <w:rPr>
          <w:sz w:val="21"/>
          <w:szCs w:val="21"/>
        </w:rPr>
        <w:t>Boards approve reports that feel human. This is the layer that turns an infrastructure poster into a story about people — it is the single highest-leverage inclusion on the page.</w:t>
      </w:r>
    </w:p>
    <w:p w:rsidR="00597F98" w:rsidRDefault="006B79EC">
      <w:pPr>
        <w:pStyle w:val="Heading1"/>
        <w:spacing w:before="480" w:after="160"/>
      </w:pPr>
      <w:r>
        <w:rPr>
          <w:b/>
          <w:bCs/>
          <w:color w:val="1B3A6B"/>
          <w:sz w:val="30"/>
          <w:szCs w:val="30"/>
        </w:rPr>
        <w:t xml:space="preserve">11. Transparent AI Dashboard </w:t>
      </w:r>
      <w:r>
        <w:rPr>
          <w:b/>
          <w:bCs/>
          <w:color w:val="1B3A6B"/>
          <w:sz w:val="30"/>
          <w:szCs w:val="30"/>
        </w:rPr>
        <w:t>and Core Value Statements</w:t>
      </w:r>
    </w:p>
    <w:p w:rsidR="00597F98" w:rsidRDefault="006B79EC">
      <w:pPr>
        <w:spacing w:after="160" w:line="300" w:lineRule="auto"/>
      </w:pPr>
      <w:r>
        <w:rPr>
          <w:sz w:val="22"/>
          <w:szCs w:val="22"/>
        </w:rPr>
        <w:t>The holographic dashboard lists five globally recognized Responsible AI pillars — Ethical, Inclusive, Transparent, Accountable, Secure — and its own transparency as an interface visually reinforces the openness it claims to repres</w:t>
      </w:r>
      <w:r>
        <w:rPr>
          <w:sz w:val="22"/>
          <w:szCs w:val="22"/>
        </w:rPr>
        <w:t>ent.</w:t>
      </w:r>
    </w:p>
    <w:p w:rsidR="00597F98" w:rsidRDefault="006B79EC">
      <w:pPr>
        <w:spacing w:after="160" w:line="300" w:lineRule="auto"/>
      </w:pPr>
      <w:r>
        <w:rPr>
          <w:sz w:val="22"/>
          <w:szCs w:val="22"/>
        </w:rPr>
        <w:lastRenderedPageBreak/>
        <w:t>Three value statements carry the strategic philosophy in shorthand:</w:t>
      </w:r>
    </w:p>
    <w:p w:rsidR="00597F98" w:rsidRDefault="006B79EC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Intelligence that Serves — not intelligence that replaces; AI exists to improve people, planet and prosperity, mapping directly onto the ESG Triple Bottom Line.</w:t>
      </w:r>
    </w:p>
    <w:p w:rsidR="00597F98" w:rsidRDefault="006B79EC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Technology with Conscience — innovation guided by ethics, balancing technical feasibility with societal responsibility.</w:t>
      </w:r>
    </w:p>
    <w:p w:rsidR="00597F98" w:rsidRDefault="006B79EC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Engineering an Equitable Transition — a "Just Transition" that leaves no community behind and supports inclusive, sustainable growth.</w:t>
      </w:r>
    </w:p>
    <w:p w:rsidR="00597F98" w:rsidRDefault="006B79EC">
      <w:pPr>
        <w:pBdr>
          <w:top w:val="single" w:sz="6" w:space="8" w:color="2E7D32"/>
          <w:left w:val="single" w:sz="18" w:space="8" w:color="2E7D32"/>
          <w:bottom w:val="single" w:sz="6" w:space="8" w:color="2E7D32"/>
          <w:right w:val="single" w:sz="6" w:space="8" w:color="2E7D32"/>
        </w:pBdr>
        <w:shd w:val="clear" w:color="auto" w:fill="EAF3EA"/>
        <w:spacing w:before="120" w:after="280"/>
      </w:pPr>
      <w:r>
        <w:rPr>
          <w:b/>
          <w:bCs/>
          <w:color w:val="2E7D32"/>
          <w:sz w:val="21"/>
          <w:szCs w:val="21"/>
        </w:rPr>
        <w:t>WH</w:t>
      </w:r>
      <w:r>
        <w:rPr>
          <w:b/>
          <w:bCs/>
          <w:color w:val="2E7D32"/>
          <w:sz w:val="21"/>
          <w:szCs w:val="21"/>
        </w:rPr>
        <w:t xml:space="preserve">Y THIS WINS:  </w:t>
      </w:r>
      <w:r>
        <w:rPr>
          <w:sz w:val="21"/>
          <w:szCs w:val="21"/>
        </w:rPr>
        <w:t>These three lines could stand alone as the report's mission statement — placing them on the cover means the reader absorbs MITCON's philosophy before the executive letter even begins.</w:t>
      </w:r>
    </w:p>
    <w:p w:rsidR="00597F98" w:rsidRDefault="006B79EC">
      <w:pPr>
        <w:pStyle w:val="Heading1"/>
        <w:spacing w:before="480" w:after="160"/>
      </w:pPr>
      <w:r>
        <w:rPr>
          <w:b/>
          <w:bCs/>
          <w:color w:val="1B3A6B"/>
          <w:sz w:val="30"/>
          <w:szCs w:val="30"/>
        </w:rPr>
        <w:t>12. SDG Anchor Strip</w:t>
      </w:r>
    </w:p>
    <w:p w:rsidR="00597F98" w:rsidRDefault="006B79EC">
      <w:pPr>
        <w:spacing w:after="160" w:line="300" w:lineRule="auto"/>
      </w:pPr>
      <w:r>
        <w:rPr>
          <w:sz w:val="22"/>
          <w:szCs w:val="22"/>
        </w:rPr>
        <w:t>The footer strip aligns the cover wit</w:t>
      </w:r>
      <w:r>
        <w:rPr>
          <w:sz w:val="22"/>
          <w:szCs w:val="22"/>
        </w:rPr>
        <w:t>h nine United Nations Sustainable Development Goals directly mapped to MITCON's work: Zero Hunger (2), Affordable and Clean Energy (7), Decent Work and Economic Growth (8), Industry, Innovation and Infrastructure (9), Reduced Inequalities (10), Sustainable</w:t>
      </w:r>
      <w:r>
        <w:rPr>
          <w:sz w:val="22"/>
          <w:szCs w:val="22"/>
        </w:rPr>
        <w:t xml:space="preserve"> Cities and Communities (11), Responsible Consumption and Production (12), Climate Action (13), and Peace, Justice and Strong Institutions (16).</w:t>
      </w:r>
    </w:p>
    <w:p w:rsidR="00597F98" w:rsidRDefault="006B79EC">
      <w:pPr>
        <w:pBdr>
          <w:top w:val="single" w:sz="6" w:space="8" w:color="2E7D32"/>
          <w:left w:val="single" w:sz="18" w:space="8" w:color="2E7D32"/>
          <w:bottom w:val="single" w:sz="6" w:space="8" w:color="2E7D32"/>
          <w:right w:val="single" w:sz="6" w:space="8" w:color="2E7D32"/>
        </w:pBdr>
        <w:shd w:val="clear" w:color="auto" w:fill="EAF3EA"/>
        <w:spacing w:before="120" w:after="280"/>
      </w:pPr>
      <w:r>
        <w:rPr>
          <w:b/>
          <w:bCs/>
          <w:color w:val="2E7D32"/>
          <w:sz w:val="21"/>
          <w:szCs w:val="21"/>
        </w:rPr>
        <w:t xml:space="preserve">WHY THIS WINS:  </w:t>
      </w:r>
      <w:r>
        <w:rPr>
          <w:sz w:val="21"/>
          <w:szCs w:val="21"/>
        </w:rPr>
        <w:t xml:space="preserve">This single strip gives auditors, ESG </w:t>
      </w:r>
      <w:proofErr w:type="spellStart"/>
      <w:r>
        <w:rPr>
          <w:sz w:val="21"/>
          <w:szCs w:val="21"/>
        </w:rPr>
        <w:t>raters</w:t>
      </w:r>
      <w:proofErr w:type="spellEnd"/>
      <w:r>
        <w:rPr>
          <w:sz w:val="21"/>
          <w:szCs w:val="21"/>
        </w:rPr>
        <w:t xml:space="preserve"> and international clients an instan</w:t>
      </w:r>
      <w:bookmarkStart w:id="0" w:name="_GoBack"/>
      <w:r>
        <w:rPr>
          <w:sz w:val="21"/>
          <w:szCs w:val="21"/>
        </w:rPr>
        <w:t>t</w:t>
      </w:r>
      <w:bookmarkEnd w:id="0"/>
      <w:r>
        <w:rPr>
          <w:sz w:val="21"/>
          <w:szCs w:val="21"/>
        </w:rPr>
        <w:t>, internationa</w:t>
      </w:r>
      <w:r>
        <w:rPr>
          <w:sz w:val="21"/>
          <w:szCs w:val="21"/>
        </w:rPr>
        <w:t>lly recognized cross-reference — it pre-answers the first question any sustainability-literate reader will ask: "which SDGs does this map to?"</w:t>
      </w:r>
    </w:p>
    <w:p w:rsidR="00597F98" w:rsidRDefault="006B79EC">
      <w:pPr>
        <w:pStyle w:val="Heading1"/>
        <w:spacing w:before="480" w:after="160"/>
      </w:pPr>
      <w:r>
        <w:rPr>
          <w:b/>
          <w:bCs/>
          <w:color w:val="1B3A6B"/>
          <w:sz w:val="30"/>
          <w:szCs w:val="30"/>
        </w:rPr>
        <w:t>13. Annual Report Banner</w:t>
      </w:r>
    </w:p>
    <w:p w:rsidR="00597F98" w:rsidRDefault="006B79EC">
      <w:pPr>
        <w:spacing w:after="160" w:line="300" w:lineRule="auto"/>
      </w:pPr>
      <w:r>
        <w:rPr>
          <w:sz w:val="22"/>
          <w:szCs w:val="22"/>
        </w:rPr>
        <w:t>The dark blue footer carrying the reporting period acts as a visual anchor, separating t</w:t>
      </w:r>
      <w:r>
        <w:rPr>
          <w:sz w:val="22"/>
          <w:szCs w:val="22"/>
        </w:rPr>
        <w:t>he storytelling illustration from the formal institutional identity of the document. It signals — without a single extra word — that this is a serious corporate publication, not a marketing flyer.</w:t>
      </w:r>
    </w:p>
    <w:p w:rsidR="00597F98" w:rsidRDefault="006B79EC">
      <w:pPr>
        <w:pBdr>
          <w:top w:val="single" w:sz="6" w:space="8" w:color="2E7D32"/>
          <w:left w:val="single" w:sz="18" w:space="8" w:color="2E7D32"/>
          <w:bottom w:val="single" w:sz="6" w:space="8" w:color="2E7D32"/>
          <w:right w:val="single" w:sz="6" w:space="8" w:color="2E7D32"/>
        </w:pBdr>
        <w:shd w:val="clear" w:color="auto" w:fill="EAF3EA"/>
        <w:spacing w:before="120" w:after="280"/>
      </w:pPr>
      <w:r>
        <w:rPr>
          <w:b/>
          <w:bCs/>
          <w:color w:val="2E7D32"/>
          <w:sz w:val="21"/>
          <w:szCs w:val="21"/>
        </w:rPr>
        <w:t xml:space="preserve">WHY THIS WINS:  </w:t>
      </w:r>
      <w:r>
        <w:rPr>
          <w:sz w:val="21"/>
          <w:szCs w:val="21"/>
        </w:rPr>
        <w:t>This closes the composition the way a title</w:t>
      </w:r>
      <w:r>
        <w:rPr>
          <w:sz w:val="21"/>
          <w:szCs w:val="21"/>
        </w:rPr>
        <w:t xml:space="preserve"> closes a chapter: cleanly, formally, and without undercutting the warmth of the illustration above it.</w:t>
      </w:r>
    </w:p>
    <w:p w:rsidR="00597F98" w:rsidRDefault="006B79EC">
      <w:pPr>
        <w:pStyle w:val="Heading1"/>
        <w:spacing w:before="480" w:after="160"/>
      </w:pPr>
      <w:r>
        <w:rPr>
          <w:b/>
          <w:bCs/>
          <w:color w:val="1B3A6B"/>
          <w:sz w:val="30"/>
          <w:szCs w:val="30"/>
        </w:rPr>
        <w:t>14. Strategic Messages Delivered Simultaneously</w:t>
      </w:r>
    </w:p>
    <w:p w:rsidR="00597F98" w:rsidRDefault="006B79EC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MITCON is evolving into an AI-enabled engineering and sustainability consultancy.</w:t>
      </w:r>
    </w:p>
    <w:p w:rsidR="00597F98" w:rsidRDefault="006B79EC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AI is a responsible enabler that supports, not replaces, human expertise.</w:t>
      </w:r>
    </w:p>
    <w:p w:rsidR="00597F98" w:rsidRDefault="006B79EC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Engineering creates value for people, planet and prosperity together.</w:t>
      </w:r>
    </w:p>
    <w:p w:rsidR="00597F98" w:rsidRDefault="006B79EC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ESG, climate resilience and digital innovation are shown as one integrated vision, not separate initiatives.</w:t>
      </w:r>
    </w:p>
    <w:p w:rsidR="00597F98" w:rsidRDefault="006B79EC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Ali</w:t>
      </w:r>
      <w:r>
        <w:rPr>
          <w:sz w:val="22"/>
          <w:szCs w:val="22"/>
        </w:rPr>
        <w:t>gnment with the UN SDGs and ethical governance is visible, not just claimed.</w:t>
      </w:r>
    </w:p>
    <w:p w:rsidR="00597F98" w:rsidRDefault="006B79EC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The presence of families, children, engineers, agriculture, clean energy and smart cities proves impact across social, environmental and economic dimensions.</w:t>
      </w:r>
    </w:p>
    <w:p w:rsidR="00597F98" w:rsidRDefault="006B79EC">
      <w:pPr>
        <w:pStyle w:val="Heading1"/>
        <w:spacing w:before="480" w:after="160"/>
      </w:pPr>
      <w:r>
        <w:rPr>
          <w:b/>
          <w:bCs/>
          <w:color w:val="1B3A6B"/>
          <w:sz w:val="30"/>
          <w:szCs w:val="30"/>
        </w:rPr>
        <w:lastRenderedPageBreak/>
        <w:t>15. Recommendation</w:t>
      </w:r>
    </w:p>
    <w:p w:rsidR="00597F98" w:rsidRDefault="006B79EC">
      <w:pPr>
        <w:spacing w:after="160" w:line="300" w:lineRule="auto"/>
      </w:pPr>
      <w:r>
        <w:rPr>
          <w:sz w:val="22"/>
          <w:szCs w:val="22"/>
        </w:rPr>
        <w:t>Ev</w:t>
      </w:r>
      <w:r>
        <w:rPr>
          <w:sz w:val="22"/>
          <w:szCs w:val="22"/>
        </w:rPr>
        <w:t>ery element on this cover was chosen against a specific communication goal, and every one of those goals has been met without contradiction: engineering is positioned first, AI is positioned as responsible and human-</w:t>
      </w:r>
      <w:proofErr w:type="spellStart"/>
      <w:r>
        <w:rPr>
          <w:sz w:val="22"/>
          <w:szCs w:val="22"/>
        </w:rPr>
        <w:t>centered</w:t>
      </w:r>
      <w:proofErr w:type="spellEnd"/>
      <w:r>
        <w:rPr>
          <w:sz w:val="22"/>
          <w:szCs w:val="22"/>
        </w:rPr>
        <w:t>, sustainability runs through th</w:t>
      </w:r>
      <w:r>
        <w:rPr>
          <w:sz w:val="22"/>
          <w:szCs w:val="22"/>
        </w:rPr>
        <w:t>e entire landscape, and the human story keeps the whole composition from feeling like a technology showcase.</w:t>
      </w:r>
    </w:p>
    <w:p w:rsidR="00597F98" w:rsidRDefault="006B79EC">
      <w:pPr>
        <w:spacing w:after="200" w:line="300" w:lineRule="auto"/>
      </w:pPr>
      <w:r>
        <w:rPr>
          <w:i/>
          <w:iCs/>
          <w:color w:val="2E7D32"/>
          <w:sz w:val="22"/>
          <w:szCs w:val="22"/>
        </w:rPr>
        <w:t>This design earns its place on the cover of a formal annual report. It should be approved as final.</w:t>
      </w:r>
    </w:p>
    <w:sectPr w:rsidR="00597F98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25A1A57"/>
    <w:multiLevelType w:val="hybridMultilevel"/>
    <w:tmpl w:val="75BAD53A"/>
    <w:lvl w:ilvl="0" w:tplc="B7CA5132">
      <w:start w:val="1"/>
      <w:numFmt w:val="bullet"/>
      <w:lvlText w:val="●"/>
      <w:lvlJc w:val="left"/>
      <w:pPr>
        <w:ind w:left="720" w:hanging="360"/>
      </w:pPr>
    </w:lvl>
    <w:lvl w:ilvl="1" w:tplc="49B404C8">
      <w:start w:val="1"/>
      <w:numFmt w:val="bullet"/>
      <w:lvlText w:val="○"/>
      <w:lvlJc w:val="left"/>
      <w:pPr>
        <w:ind w:left="1440" w:hanging="360"/>
      </w:pPr>
    </w:lvl>
    <w:lvl w:ilvl="2" w:tplc="A6F801C2">
      <w:start w:val="1"/>
      <w:numFmt w:val="bullet"/>
      <w:lvlText w:val="■"/>
      <w:lvlJc w:val="left"/>
      <w:pPr>
        <w:ind w:left="2160" w:hanging="360"/>
      </w:pPr>
    </w:lvl>
    <w:lvl w:ilvl="3" w:tplc="B2BC8238">
      <w:start w:val="1"/>
      <w:numFmt w:val="bullet"/>
      <w:lvlText w:val="●"/>
      <w:lvlJc w:val="left"/>
      <w:pPr>
        <w:ind w:left="2880" w:hanging="360"/>
      </w:pPr>
    </w:lvl>
    <w:lvl w:ilvl="4" w:tplc="FBAA41D2">
      <w:start w:val="1"/>
      <w:numFmt w:val="bullet"/>
      <w:lvlText w:val="○"/>
      <w:lvlJc w:val="left"/>
      <w:pPr>
        <w:ind w:left="3600" w:hanging="360"/>
      </w:pPr>
    </w:lvl>
    <w:lvl w:ilvl="5" w:tplc="7C80A654">
      <w:start w:val="1"/>
      <w:numFmt w:val="bullet"/>
      <w:lvlText w:val="■"/>
      <w:lvlJc w:val="left"/>
      <w:pPr>
        <w:ind w:left="4320" w:hanging="360"/>
      </w:pPr>
    </w:lvl>
    <w:lvl w:ilvl="6" w:tplc="7E2A86EE">
      <w:start w:val="1"/>
      <w:numFmt w:val="bullet"/>
      <w:lvlText w:val="●"/>
      <w:lvlJc w:val="left"/>
      <w:pPr>
        <w:ind w:left="5040" w:hanging="360"/>
      </w:pPr>
    </w:lvl>
    <w:lvl w:ilvl="7" w:tplc="CBF6538E">
      <w:start w:val="1"/>
      <w:numFmt w:val="bullet"/>
      <w:lvlText w:val="●"/>
      <w:lvlJc w:val="left"/>
      <w:pPr>
        <w:ind w:left="5760" w:hanging="360"/>
      </w:pPr>
    </w:lvl>
    <w:lvl w:ilvl="8" w:tplc="F9F8578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E6A445C"/>
    <w:multiLevelType w:val="hybridMultilevel"/>
    <w:tmpl w:val="95045498"/>
    <w:lvl w:ilvl="0" w:tplc="9B467834">
      <w:start w:val="1"/>
      <w:numFmt w:val="bullet"/>
      <w:lvlText w:val="•"/>
      <w:lvlJc w:val="left"/>
      <w:pPr>
        <w:ind w:left="504" w:hanging="288"/>
      </w:pPr>
    </w:lvl>
    <w:lvl w:ilvl="1" w:tplc="F5C2A65E">
      <w:numFmt w:val="decimal"/>
      <w:lvlText w:val=""/>
      <w:lvlJc w:val="left"/>
    </w:lvl>
    <w:lvl w:ilvl="2" w:tplc="D82A4222">
      <w:numFmt w:val="decimal"/>
      <w:lvlText w:val=""/>
      <w:lvlJc w:val="left"/>
    </w:lvl>
    <w:lvl w:ilvl="3" w:tplc="9250AAE6">
      <w:numFmt w:val="decimal"/>
      <w:lvlText w:val=""/>
      <w:lvlJc w:val="left"/>
    </w:lvl>
    <w:lvl w:ilvl="4" w:tplc="E9364CB8">
      <w:numFmt w:val="decimal"/>
      <w:lvlText w:val=""/>
      <w:lvlJc w:val="left"/>
    </w:lvl>
    <w:lvl w:ilvl="5" w:tplc="91366FC8">
      <w:numFmt w:val="decimal"/>
      <w:lvlText w:val=""/>
      <w:lvlJc w:val="left"/>
    </w:lvl>
    <w:lvl w:ilvl="6" w:tplc="CDB2DF62">
      <w:numFmt w:val="decimal"/>
      <w:lvlText w:val=""/>
      <w:lvlJc w:val="left"/>
    </w:lvl>
    <w:lvl w:ilvl="7" w:tplc="46E05DDA">
      <w:numFmt w:val="decimal"/>
      <w:lvlText w:val=""/>
      <w:lvlJc w:val="left"/>
    </w:lvl>
    <w:lvl w:ilvl="8" w:tplc="D50CC014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7F98"/>
    <w:rsid w:val="00597F98"/>
    <w:rsid w:val="006B79EC"/>
    <w:rsid w:val="00C4790C"/>
    <w:rsid w:val="00EE25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381435"/>
  <w15:docId w15:val="{CF310DA3-26D0-4348-AA15-1960C7B77C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6</Pages>
  <Words>1809</Words>
  <Characters>10313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Vibin Cariappa</cp:lastModifiedBy>
  <cp:revision>3</cp:revision>
  <dcterms:created xsi:type="dcterms:W3CDTF">2026-07-28T11:06:00Z</dcterms:created>
  <dcterms:modified xsi:type="dcterms:W3CDTF">2026-07-28T12:00:00Z</dcterms:modified>
</cp:coreProperties>
</file>