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555555"/>
          <w:sz w:val="22"/>
          <w:szCs w:val="22"/>
        </w:rPr>
        <w:t xml:space="preserve">DESIGN PITCH &amp; RATIONALE</w:t>
      </w:r>
    </w:p>
    <w:p>
      <w:pPr>
        <w:spacing w:after="100"/>
        <w:jc w:val="center"/>
      </w:pPr>
      <w:r>
        <w:rPr>
          <w:b/>
          <w:bCs/>
          <w:color w:val="1B3A6B"/>
          <w:sz w:val="52"/>
          <w:szCs w:val="52"/>
        </w:rPr>
        <w:t xml:space="preserve">MITCON Annual Report 2025–26</w:t>
      </w:r>
    </w:p>
    <w:p>
      <w:pPr>
        <w:spacing w:after="300"/>
        <w:jc w:val="center"/>
      </w:pPr>
      <w:r>
        <w:rPr>
          <w:b/>
          <w:bCs/>
          <w:color w:val="2E7D32"/>
          <w:sz w:val="30"/>
          <w:szCs w:val="30"/>
        </w:rPr>
        <w:t xml:space="preserve">Cover Concept: "Responsible AI for Just and Resilient Engineering"</w:t>
      </w:r>
    </w:p>
    <w:p>
      <w:pPr>
        <w:spacing w:after="600"/>
        <w:jc w:val="center"/>
      </w:pPr>
      <w:r>
        <w:rPr>
          <w:i/>
          <w:iCs/>
          <w:color w:val="555555"/>
          <w:sz w:val="20"/>
          <w:szCs w:val="20"/>
        </w:rPr>
        <w:t xml:space="preserve">Prepared for stakeholder sign-off  |  Senior UI/Design Review</w:t>
      </w:r>
    </w:p>
    <w:p>
      <w:pPr>
        <w:pBdr>
          <w:bottom w:val="single" w:color="CCCCCC" w:sz="6" w:space="1"/>
        </w:pBdr>
        <w:spacing w:after="240"/>
      </w:pPr>
    </w:p>
    <w:p>
      <w:pPr>
        <w:pStyle w:val="Heading1"/>
        <w:spacing w:after="160" w:before="480"/>
      </w:pPr>
      <w:r>
        <w:rPr>
          <w:b/>
          <w:bCs/>
          <w:color w:val="1B3A6B"/>
          <w:sz w:val="30"/>
          <w:szCs w:val="30"/>
        </w:rPr>
        <w:t xml:space="preserve">Executive Summary: The Case for Approval</w:t>
      </w:r>
    </w:p>
    <w:p>
      <w:pPr>
        <w:spacing w:after="160" w:line="300"/>
      </w:pPr>
      <w:r>
        <w:rPr>
          <w:sz w:val="22"/>
          <w:szCs w:val="22"/>
        </w:rPr>
        <w:t xml:space="preserve">This cover is not decoration — it is a strategic argument, rendered visually. In a single frame, it tells stakeholders, regulators, clients and employees exactly where MITCON is going: from a traditional engineering consultancy to a technology-driven sustainability partner. Every element on this page — from typography to iconography — has been chosen to do one job: make that transition feel inevitable, credible, and human.</w:t>
      </w:r>
    </w:p>
    <w:p>
      <w:pPr>
        <w:spacing w:after="160" w:line="300"/>
      </w:pPr>
      <w:r>
        <w:rPr>
          <w:sz w:val="22"/>
          <w:szCs w:val="22"/>
        </w:rPr>
        <w:t xml:space="preserve">Recommend approval as final. Below is the line-by-line rationale, section by section, with the specific reason each choice earns its place on the cover.</w:t>
      </w:r>
    </w:p>
    <w:p>
      <w:pPr>
        <w:pStyle w:val="Heading1"/>
        <w:spacing w:after="160" w:before="480"/>
      </w:pPr>
      <w:r>
        <w:rPr>
          <w:b/>
          <w:bCs/>
          <w:color w:val="1B3A6B"/>
          <w:sz w:val="30"/>
          <w:szCs w:val="30"/>
        </w:rPr>
        <w:t xml:space="preserve">1. Overall Design Philosophy</w:t>
      </w:r>
    </w:p>
    <w:p>
      <w:pPr>
        <w:spacing w:after="160" w:line="300"/>
      </w:pPr>
      <w:r>
        <w:rPr>
          <w:sz w:val="22"/>
          <w:szCs w:val="22"/>
        </w:rPr>
        <w:t xml:space="preserve">The composition follows a deliberate future-forward sustainability narrative, weaving together engineering, artificial intelligence, ESG, climate action, infrastructure, agriculture, human development and smart cities into one continuous scene rather than a grid of disconnected icons.</w:t>
      </w:r>
    </w:p>
    <w:p>
      <w:pPr>
        <w:spacing w:after="160" w:line="300"/>
      </w:pPr>
      <w:r>
        <w:rPr>
          <w:sz w:val="22"/>
          <w:szCs w:val="22"/>
        </w:rPr>
        <w:t xml:space="preserve">The eye is guided along a single visual path: People → Technology → Engineering → Sustainability → Future. This is not accidental — it is directed storytelling. A viewer absorbs the report's entire thesis in the three seconds it takes to look at the cover, before reading a single word of the report itself.</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A cover that tells a story out-performs a cover that lists services. This one does the strategic positioning work that would otherwise take a full page of text.</w:t>
      </w:r>
    </w:p>
    <w:p>
      <w:pPr>
        <w:pStyle w:val="Heading1"/>
        <w:spacing w:after="160" w:before="480"/>
      </w:pPr>
      <w:r>
        <w:rPr>
          <w:b/>
          <w:bCs/>
          <w:color w:val="1B3A6B"/>
          <w:sz w:val="30"/>
          <w:szCs w:val="30"/>
        </w:rPr>
        <w:t xml:space="preserve">2. MITCON Branding</w:t>
      </w:r>
    </w:p>
    <w:p>
      <w:pPr>
        <w:pStyle w:val="Heading2"/>
        <w:spacing w:after="120" w:before="280"/>
      </w:pPr>
      <w:r>
        <w:rPr>
          <w:b/>
          <w:bCs/>
          <w:color w:val="2E7D32"/>
          <w:sz w:val="24"/>
          <w:szCs w:val="24"/>
        </w:rPr>
        <w:t xml:space="preserve">The Logo</w:t>
      </w:r>
    </w:p>
    <w:p>
      <w:pPr>
        <w:spacing w:after="160" w:line="300"/>
      </w:pPr>
      <w:r>
        <w:rPr>
          <w:sz w:val="22"/>
          <w:szCs w:val="22"/>
        </w:rPr>
        <w:t xml:space="preserve">Placed top-center on a clean white field, the logo is given uncontested visual priority. This position is universally read as leadership, trust and corporate identity — the eye lands there first by convention, so brand recognition is instantaneous, and the white backing guarantees it never competes with the busy illustration below it.</w:t>
      </w:r>
    </w:p>
    <w:p>
      <w:pPr>
        <w:pStyle w:val="Heading2"/>
        <w:spacing w:after="120" w:before="280"/>
      </w:pPr>
      <w:r>
        <w:rPr>
          <w:b/>
          <w:bCs/>
          <w:color w:val="2E7D32"/>
          <w:sz w:val="24"/>
          <w:szCs w:val="24"/>
        </w:rPr>
        <w:t xml:space="preserve">The Tagline — "Solutions for Sustainable Tomorrow"</w:t>
      </w:r>
    </w:p>
    <w:p>
      <w:pPr>
        <w:spacing w:after="160" w:line="300"/>
      </w:pPr>
      <w:r>
        <w:rPr>
          <w:sz w:val="22"/>
          <w:szCs w:val="22"/>
        </w:rPr>
        <w:t xml:space="preserve">This line does double duty: it anchors MITCON's identity as sustainability consultant, engineering partner, ESG advisor and technology organization in one breath, and it hands the reader the theme of the entire report before they turn a single page.</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Brand recognition and message alignment are both secured in the first glance — no ambiguity about who is speaking or what they stand for.</w:t>
      </w:r>
    </w:p>
    <w:p>
      <w:pPr>
        <w:pStyle w:val="Heading1"/>
        <w:spacing w:after="160" w:before="480"/>
      </w:pPr>
      <w:r>
        <w:rPr>
          <w:b/>
          <w:bCs/>
          <w:color w:val="1B3A6B"/>
          <w:sz w:val="30"/>
          <w:szCs w:val="30"/>
        </w:rPr>
        <w:t xml:space="preserve">3. Main Title Typography</w:t>
      </w:r>
    </w:p>
    <w:p>
      <w:pPr>
        <w:pStyle w:val="Heading2"/>
        <w:spacing w:after="120" w:before="280"/>
      </w:pPr>
      <w:r>
        <w:rPr>
          <w:b/>
          <w:bCs/>
          <w:color w:val="2E7D32"/>
          <w:sz w:val="24"/>
          <w:szCs w:val="24"/>
        </w:rPr>
        <w:t xml:space="preserve">"Responsible AI" (green)</w:t>
      </w:r>
    </w:p>
    <w:p>
      <w:pPr>
        <w:spacing w:after="160" w:line="300"/>
      </w:pPr>
      <w:r>
        <w:rPr>
          <w:sz w:val="22"/>
          <w:szCs w:val="22"/>
        </w:rPr>
        <w:t xml:space="preserve">Rendering the primary message in green immediately borrows the emotional register of ethics and sustainability before the reader has parsed the words. "Responsible" signals that this is AI positioned as ethical, transparent, fair, explainable and human-centric — a deliberate contrast to AI framed purely as automation.</w:t>
      </w:r>
    </w:p>
    <w:p>
      <w:pPr>
        <w:pStyle w:val="Heading2"/>
        <w:spacing w:after="120" w:before="280"/>
      </w:pPr>
      <w:r>
        <w:rPr>
          <w:b/>
          <w:bCs/>
          <w:color w:val="2E7D32"/>
          <w:sz w:val="24"/>
          <w:szCs w:val="24"/>
        </w:rPr>
        <w:t xml:space="preserve">"FOR" (bridge typography)</w:t>
      </w:r>
    </w:p>
    <w:p>
      <w:pPr>
        <w:spacing w:after="160" w:line="300"/>
      </w:pPr>
      <w:r>
        <w:rPr>
          <w:sz w:val="22"/>
          <w:szCs w:val="22"/>
        </w:rPr>
        <w:t xml:space="preserve">This small connective word is a typographic device, not filler. It tells the reader that Responsible AI exists in service of something larger — it sets up the payoff in the next line rather than leaving the headline to end on a buzzword.</w:t>
      </w:r>
    </w:p>
    <w:p>
      <w:pPr>
        <w:pStyle w:val="Heading2"/>
        <w:spacing w:after="120" w:before="280"/>
      </w:pPr>
      <w:r>
        <w:rPr>
          <w:b/>
          <w:bCs/>
          <w:color w:val="2E7D32"/>
          <w:sz w:val="24"/>
          <w:szCs w:val="24"/>
        </w:rPr>
        <w:t xml:space="preserve">"Just and Resilient" (blue)</w:t>
      </w:r>
    </w:p>
    <w:p>
      <w:pPr>
        <w:spacing w:after="160" w:line="300"/>
      </w:pPr>
      <w:r>
        <w:rPr>
          <w:sz w:val="22"/>
          <w:szCs w:val="22"/>
        </w:rPr>
        <w:t xml:space="preserve">Blue shifts the register from ethics to governance and engineering precision. "Just" signals that engineering decisions should benefit everyone; "Resilient" signals infrastructure built to withstand climate change, digital transformation, economic shocks and future risk.</w:t>
      </w:r>
    </w:p>
    <w:p>
      <w:pPr>
        <w:pStyle w:val="Heading2"/>
        <w:spacing w:after="120" w:before="280"/>
      </w:pPr>
      <w:r>
        <w:rPr>
          <w:b/>
          <w:bCs/>
          <w:color w:val="2E7D32"/>
          <w:sz w:val="24"/>
          <w:szCs w:val="24"/>
        </w:rPr>
        <w:t xml:space="preserve">"Engineering" (largest type)</w:t>
      </w:r>
    </w:p>
    <w:p>
      <w:pPr>
        <w:spacing w:after="160" w:line="300"/>
      </w:pPr>
      <w:r>
        <w:rPr>
          <w:sz w:val="22"/>
          <w:szCs w:val="22"/>
        </w:rPr>
        <w:t xml:space="preserve">This is the single most important typographic decision on the page. By making "Engineering" the largest word, the hierarchy states unambiguously: Engineering First, Technology Second. AI supports engineering; it does not replace it. This one sizing choice pre-empts any stakeholder concern that MITCON is drifting from its core competency.</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The type hierarchy is a compressed mission statement — ethics, governance, and engineering primacy are all communicated through size and color alone, before a single sentence of body copy is read.</w:t>
      </w:r>
    </w:p>
    <w:p>
      <w:pPr>
        <w:pStyle w:val="Heading1"/>
        <w:spacing w:after="160" w:before="480"/>
      </w:pPr>
      <w:r>
        <w:rPr>
          <w:b/>
          <w:bCs/>
          <w:color w:val="1B3A6B"/>
          <w:sz w:val="30"/>
          <w:szCs w:val="30"/>
        </w:rPr>
        <w:t xml:space="preserve">4. Color Psychology</w:t>
      </w:r>
    </w:p>
    <w:p>
      <w:pPr>
        <w:pStyle w:val="ListParagraph"/>
        <w:numPr>
          <w:ilvl w:val="0"/>
          <w:numId w:val="2"/>
        </w:numPr>
        <w:spacing w:after="80"/>
      </w:pPr>
      <w:r>
        <w:rPr>
          <w:sz w:val="22"/>
          <w:szCs w:val="22"/>
        </w:rPr>
        <w:t xml:space="preserve">Deep Blue — intelligence, corporate governance, reliability, trust, professionalism; the natural color of engineering and technology.</w:t>
      </w:r>
    </w:p>
    <w:p>
      <w:pPr>
        <w:pStyle w:val="ListParagraph"/>
        <w:numPr>
          <w:ilvl w:val="0"/>
          <w:numId w:val="2"/>
        </w:numPr>
        <w:spacing w:after="80"/>
      </w:pPr>
      <w:r>
        <w:rPr>
          <w:sz w:val="22"/>
          <w:szCs w:val="22"/>
        </w:rPr>
        <w:t xml:space="preserve">Green — ESG, sustainability, nature, renewable energy, climate action; it also softens the AI narrative so the technology reads as approachable rather than cold.</w:t>
      </w:r>
    </w:p>
    <w:p>
      <w:pPr>
        <w:pStyle w:val="ListParagraph"/>
        <w:numPr>
          <w:ilvl w:val="0"/>
          <w:numId w:val="2"/>
        </w:numPr>
        <w:spacing w:after="80"/>
      </w:pPr>
      <w:r>
        <w:rPr>
          <w:sz w:val="22"/>
          <w:szCs w:val="22"/>
        </w:rPr>
        <w:t xml:space="preserve">White — transparency, integrity, ethical governance, clarity; directly reinforcing Responsible AI principles.</w:t>
      </w:r>
    </w:p>
    <w:p>
      <w:pPr>
        <w:pStyle w:val="ListParagraph"/>
        <w:numPr>
          <w:ilvl w:val="0"/>
          <w:numId w:val="2"/>
        </w:numPr>
        <w:spacing w:after="80"/>
      </w:pPr>
      <w:r>
        <w:rPr>
          <w:sz w:val="22"/>
          <w:szCs w:val="22"/>
        </w:rPr>
        <w:t xml:space="preserve">Sky Gradient — optimism, innovation, future opportunity and hope, giving the whole scene forward motion.</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Every brand pillar MITCON needs to project — trust, sustainability, transparency, optimism — is already present before the viewer reads a single caption.</w:t>
      </w:r>
    </w:p>
    <w:p>
      <w:pPr>
        <w:pStyle w:val="Heading1"/>
        <w:spacing w:after="160" w:before="480"/>
      </w:pPr>
      <w:r>
        <w:rPr>
          <w:b/>
          <w:bCs/>
          <w:color w:val="1B3A6B"/>
          <w:sz w:val="30"/>
          <w:szCs w:val="30"/>
        </w:rPr>
        <w:t xml:space="preserve">5. Artificial Intelligence Representation</w:t>
      </w:r>
    </w:p>
    <w:p>
      <w:pPr>
        <w:pStyle w:val="Heading2"/>
        <w:spacing w:after="120" w:before="280"/>
      </w:pPr>
      <w:r>
        <w:rPr>
          <w:b/>
          <w:bCs/>
          <w:color w:val="2E7D32"/>
          <w:sz w:val="24"/>
          <w:szCs w:val="24"/>
        </w:rPr>
        <w:t xml:space="preserve">The Digital Human Face</w:t>
      </w:r>
    </w:p>
    <w:p>
      <w:pPr>
        <w:spacing w:after="160" w:line="300"/>
      </w:pPr>
      <w:r>
        <w:rPr>
          <w:sz w:val="22"/>
          <w:szCs w:val="22"/>
        </w:rPr>
        <w:t xml:space="preserve">Positioned upper-right, this is the strongest symbolic device on the cover: AI rendered as a human face, not a robot. It is drawn transparent, connected and glowing softly in blue, precisely to communicate that intelligence here is human-centered, ethical and enabling — never dominating.</w:t>
      </w:r>
    </w:p>
    <w:p>
      <w:pPr>
        <w:pStyle w:val="Heading2"/>
        <w:spacing w:after="120" w:before="280"/>
      </w:pPr>
      <w:r>
        <w:rPr>
          <w:b/>
          <w:bCs/>
          <w:color w:val="2E7D32"/>
          <w:sz w:val="24"/>
          <w:szCs w:val="24"/>
        </w:rPr>
        <w:t xml:space="preserve">The Network Lines and Floating Icons</w:t>
      </w:r>
    </w:p>
    <w:p>
      <w:pPr>
        <w:spacing w:after="160" w:line="300"/>
      </w:pPr>
      <w:r>
        <w:rPr>
          <w:sz w:val="22"/>
          <w:szCs w:val="22"/>
        </w:rPr>
        <w:t xml:space="preserve">Surrounding the face, subtle network lines stand in for machine learning, neural networks and data intelligence, while the floating icons — cloud computing, digital governance, smart infrastructure, connected communities — build out AI as an interconnected ecosystem rather than a single gadget.</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This is the safest, most stakeholder-friendly way to depict AI in a serious corporate report: it reassures rather than alarms, and it visually rules out any "AI replacing workers" reading before it can even form.</w:t>
      </w:r>
    </w:p>
    <w:p>
      <w:pPr>
        <w:pStyle w:val="Heading1"/>
        <w:spacing w:after="160" w:before="480"/>
      </w:pPr>
      <w:r>
        <w:rPr>
          <w:b/>
          <w:bCs/>
          <w:color w:val="1B3A6B"/>
          <w:sz w:val="30"/>
          <w:szCs w:val="30"/>
        </w:rPr>
        <w:t xml:space="preserve">6. Renewable Energy Landscape</w:t>
      </w:r>
    </w:p>
    <w:p>
      <w:pPr>
        <w:pStyle w:val="ListParagraph"/>
        <w:numPr>
          <w:ilvl w:val="0"/>
          <w:numId w:val="2"/>
        </w:numPr>
        <w:spacing w:after="80"/>
      </w:pPr>
      <w:r>
        <w:rPr>
          <w:sz w:val="22"/>
          <w:szCs w:val="22"/>
        </w:rPr>
        <w:t xml:space="preserve">Wind Turbines — renewable energy, net-zero transition, clean power, decarbonization; direct visual proof of MITCON's energy-consulting expertise.</w:t>
      </w:r>
    </w:p>
    <w:p>
      <w:pPr>
        <w:pStyle w:val="ListParagraph"/>
        <w:numPr>
          <w:ilvl w:val="0"/>
          <w:numId w:val="2"/>
        </w:numPr>
        <w:spacing w:after="80"/>
      </w:pPr>
      <w:r>
        <w:rPr>
          <w:sz w:val="22"/>
          <w:szCs w:val="22"/>
        </w:rPr>
        <w:t xml:space="preserve">Solar Panels — clean energy, innovation, energy independence, climate responsibility.</w:t>
      </w:r>
    </w:p>
    <w:p>
      <w:pPr>
        <w:pStyle w:val="ListParagraph"/>
        <w:numPr>
          <w:ilvl w:val="0"/>
          <w:numId w:val="2"/>
        </w:numPr>
        <w:spacing w:after="80"/>
      </w:pPr>
      <w:r>
        <w:rPr>
          <w:sz w:val="22"/>
          <w:szCs w:val="22"/>
        </w:rPr>
        <w:t xml:space="preserve">Mountains — stability, endurance and long-term vision, reminding the viewer that engineering should last for generations, not quarters.</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Three assets, three service lines instantly recognizable to any ESG-literate stakeholder — this is portfolio credibility delivered as landscape, not as a bullet-point services page.</w:t>
      </w:r>
    </w:p>
    <w:p>
      <w:pPr>
        <w:pStyle w:val="Heading1"/>
        <w:spacing w:after="160" w:before="480"/>
      </w:pPr>
      <w:r>
        <w:rPr>
          <w:b/>
          <w:bCs/>
          <w:color w:val="1B3A6B"/>
          <w:sz w:val="30"/>
          <w:szCs w:val="30"/>
        </w:rPr>
        <w:t xml:space="preserve">7. Smart City and High-Speed Rail</w:t>
      </w:r>
    </w:p>
    <w:p>
      <w:pPr>
        <w:spacing w:after="160" w:line="300"/>
      </w:pPr>
      <w:r>
        <w:rPr>
          <w:sz w:val="22"/>
          <w:szCs w:val="22"/>
        </w:rPr>
        <w:t xml:space="preserve">The skyline represents urban development, infrastructure planning, digital cities and future engineering, while the greenery woven through it makes the point that cities can grow without sacrificing environmental sustainability — balanced urbanization, illustrated rather than asserted.</w:t>
      </w:r>
    </w:p>
    <w:p>
      <w:pPr>
        <w:spacing w:after="160" w:line="300"/>
      </w:pPr>
      <w:r>
        <w:rPr>
          <w:sz w:val="22"/>
          <w:szCs w:val="22"/>
        </w:rPr>
        <w:t xml:space="preserve">The high-speed train adds smart mobility, sustainable transportation and low-carbon transit to the same frame, reinforcing engineering efficiency and future-ready public infrastructure.</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Urban and mobility credibility are established side by side, showing MITCON operating at both building and city scale.</w:t>
      </w:r>
    </w:p>
    <w:p>
      <w:pPr>
        <w:pStyle w:val="Heading1"/>
        <w:spacing w:after="160" w:before="480"/>
      </w:pPr>
      <w:r>
        <w:rPr>
          <w:b/>
          <w:bCs/>
          <w:color w:val="1B3A6B"/>
          <w:sz w:val="30"/>
          <w:szCs w:val="30"/>
        </w:rPr>
        <w:t xml:space="preserve">8. Hydroelectric Dam</w:t>
      </w:r>
    </w:p>
    <w:p>
      <w:pPr>
        <w:spacing w:after="160" w:line="300"/>
      </w:pPr>
      <w:r>
        <w:rPr>
          <w:sz w:val="22"/>
          <w:szCs w:val="22"/>
        </w:rPr>
        <w:t xml:space="preserve">Placed centrally, the dam represents water resource management, renewable energy, infrastructure resilience and climate adaptation. Because water visually threads through every section of the landscape, it becomes the connective tissue of the whole illustration — a quiet but effective way of saying sustainability underpins everything MITCON builds.</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A single central image does the work of a whole paragraph explaining cross-sector integration.</w:t>
      </w:r>
    </w:p>
    <w:p>
      <w:pPr>
        <w:pStyle w:val="Heading1"/>
        <w:spacing w:after="160" w:before="480"/>
      </w:pPr>
      <w:r>
        <w:rPr>
          <w:b/>
          <w:bCs/>
          <w:color w:val="1B3A6B"/>
          <w:sz w:val="30"/>
          <w:szCs w:val="30"/>
        </w:rPr>
        <w:t xml:space="preserve">9. Agriculture and Drone Technology</w:t>
      </w:r>
    </w:p>
    <w:p>
      <w:pPr>
        <w:spacing w:after="160" w:line="300"/>
      </w:pPr>
      <w:r>
        <w:rPr>
          <w:sz w:val="22"/>
          <w:szCs w:val="22"/>
        </w:rPr>
        <w:t xml:space="preserve">The farmland speaks to food security, rural development, precision agriculture and climate-smart farming; the tractor signals that traditional agriculture is being enhanced, not replaced, by modern technology. The drone above it adds precision surveying, GIS mapping, environmental monitoring and infrastructure inspection — the clearest possible bridge between engineering and digital innovation.</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This pairing proves the Responsible AI message extends beyond cities and energy into livelihoods — closing a gap that a purely urban/industrial cover would leave open.</w:t>
      </w:r>
    </w:p>
    <w:p>
      <w:pPr>
        <w:pStyle w:val="Heading1"/>
        <w:spacing w:after="160" w:before="480"/>
      </w:pPr>
      <w:r>
        <w:rPr>
          <w:b/>
          <w:bCs/>
          <w:color w:val="1B3A6B"/>
          <w:sz w:val="30"/>
          <w:szCs w:val="30"/>
        </w:rPr>
        <w:t xml:space="preserve">10. Human Figures — The Most Important Storytelling Layer</w:t>
      </w:r>
    </w:p>
    <w:p>
      <w:pPr>
        <w:spacing w:after="160" w:line="300"/>
      </w:pPr>
      <w:r>
        <w:rPr>
          <w:sz w:val="22"/>
          <w:szCs w:val="22"/>
        </w:rPr>
        <w:t xml:space="preserve">Rather than populating the scene with engineers alone, the illustration includes adults, children, communities and professionals together. This single decision is what keeps the cover from reading as a cold technology showcase.</w:t>
      </w:r>
    </w:p>
    <w:p>
      <w:pPr>
        <w:pStyle w:val="Heading2"/>
        <w:spacing w:after="120" w:before="280"/>
      </w:pPr>
      <w:r>
        <w:rPr>
          <w:b/>
          <w:bCs/>
          <w:color w:val="2E7D32"/>
          <w:sz w:val="24"/>
          <w:szCs w:val="24"/>
        </w:rPr>
        <w:t xml:space="preserve">Engineer with Helmet</w:t>
      </w:r>
    </w:p>
    <w:p>
      <w:pPr>
        <w:spacing w:after="160" w:line="300"/>
      </w:pPr>
      <w:r>
        <w:rPr>
          <w:sz w:val="22"/>
          <w:szCs w:val="22"/>
        </w:rPr>
        <w:t xml:space="preserve">Represents technical expertise, safety, infrastructure execution and professional accountability; the MITCON logo on the helmet reinforces brand ownership of responsible engineering at the point of execution, not just at the boardroom level.</w:t>
      </w:r>
    </w:p>
    <w:p>
      <w:pPr>
        <w:pStyle w:val="Heading2"/>
        <w:spacing w:after="120" w:before="280"/>
      </w:pPr>
      <w:r>
        <w:rPr>
          <w:b/>
          <w:bCs/>
          <w:color w:val="2E7D32"/>
          <w:sz w:val="24"/>
          <w:szCs w:val="24"/>
        </w:rPr>
        <w:t xml:space="preserve">Children</w:t>
      </w:r>
    </w:p>
    <w:p>
      <w:pPr>
        <w:spacing w:after="160" w:line="300"/>
      </w:pPr>
      <w:r>
        <w:rPr>
          <w:sz w:val="22"/>
          <w:szCs w:val="22"/>
        </w:rPr>
        <w:t xml:space="preserve">Symbolize future generations, long-term sustainability, legacy and inclusive development — a visual reminder that today's engineering decisions shape tomorrow's world.</w:t>
      </w:r>
    </w:p>
    <w:p>
      <w:pPr>
        <w:pStyle w:val="Heading2"/>
        <w:spacing w:after="120" w:before="280"/>
      </w:pPr>
      <w:r>
        <w:rPr>
          <w:b/>
          <w:bCs/>
          <w:color w:val="2E7D32"/>
          <w:sz w:val="24"/>
          <w:szCs w:val="24"/>
        </w:rPr>
        <w:t xml:space="preserve">Family</w:t>
      </w:r>
    </w:p>
    <w:p>
      <w:pPr>
        <w:spacing w:after="160" w:line="300"/>
      </w:pPr>
      <w:r>
        <w:rPr>
          <w:sz w:val="22"/>
          <w:szCs w:val="22"/>
        </w:rPr>
        <w:t xml:space="preserve">Represents society, community participation and stakeholder engagement, giving visual form to ESG's social dimension.</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Boards approve reports that feel human. This is the layer that turns an infrastructure poster into a story about people — it is the single highest-leverage inclusion on the page.</w:t>
      </w:r>
    </w:p>
    <w:p>
      <w:pPr>
        <w:pStyle w:val="Heading1"/>
        <w:spacing w:after="160" w:before="480"/>
      </w:pPr>
      <w:r>
        <w:rPr>
          <w:b/>
          <w:bCs/>
          <w:color w:val="1B3A6B"/>
          <w:sz w:val="30"/>
          <w:szCs w:val="30"/>
        </w:rPr>
        <w:t xml:space="preserve">11. Transparent AI Dashboard and Core Value Statements</w:t>
      </w:r>
    </w:p>
    <w:p>
      <w:pPr>
        <w:spacing w:after="160" w:line="300"/>
      </w:pPr>
      <w:r>
        <w:rPr>
          <w:sz w:val="22"/>
          <w:szCs w:val="22"/>
        </w:rPr>
        <w:t xml:space="preserve">The holographic dashboard lists five globally recognized Responsible AI pillars — Ethical, Inclusive, Transparent, Accountable, Secure — and its own transparency as an interface visually reinforces the openness it claims to represent.</w:t>
      </w:r>
    </w:p>
    <w:p>
      <w:pPr>
        <w:spacing w:after="160" w:line="300"/>
      </w:pPr>
      <w:r>
        <w:rPr>
          <w:sz w:val="22"/>
          <w:szCs w:val="22"/>
        </w:rPr>
        <w:t xml:space="preserve">Three value statements carry the strategic philosophy in shorthand:</w:t>
      </w:r>
    </w:p>
    <w:p>
      <w:pPr>
        <w:pStyle w:val="ListParagraph"/>
        <w:numPr>
          <w:ilvl w:val="0"/>
          <w:numId w:val="2"/>
        </w:numPr>
        <w:spacing w:after="80"/>
      </w:pPr>
      <w:r>
        <w:rPr>
          <w:sz w:val="22"/>
          <w:szCs w:val="22"/>
        </w:rPr>
        <w:t xml:space="preserve">Intelligence that Serves — not intelligence that replaces; AI exists to improve people, planet and prosperity, mapping directly onto the ESG Triple Bottom Line.</w:t>
      </w:r>
    </w:p>
    <w:p>
      <w:pPr>
        <w:pStyle w:val="ListParagraph"/>
        <w:numPr>
          <w:ilvl w:val="0"/>
          <w:numId w:val="2"/>
        </w:numPr>
        <w:spacing w:after="80"/>
      </w:pPr>
      <w:r>
        <w:rPr>
          <w:sz w:val="22"/>
          <w:szCs w:val="22"/>
        </w:rPr>
        <w:t xml:space="preserve">Technology with Conscience — innovation guided by ethics, balancing technical feasibility with societal responsibility.</w:t>
      </w:r>
    </w:p>
    <w:p>
      <w:pPr>
        <w:pStyle w:val="ListParagraph"/>
        <w:numPr>
          <w:ilvl w:val="0"/>
          <w:numId w:val="2"/>
        </w:numPr>
        <w:spacing w:after="80"/>
      </w:pPr>
      <w:r>
        <w:rPr>
          <w:sz w:val="22"/>
          <w:szCs w:val="22"/>
        </w:rPr>
        <w:t xml:space="preserve">Engineering an Equitable Transition — a "Just Transition" that leaves no community behind and supports inclusive, sustainable growth.</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These three lines could stand alone as the report's mission statement — placing them on the cover means the reader absorbs MITCON's philosophy before the executive letter even begins.</w:t>
      </w:r>
    </w:p>
    <w:p>
      <w:pPr>
        <w:pStyle w:val="Heading1"/>
        <w:spacing w:after="160" w:before="480"/>
      </w:pPr>
      <w:r>
        <w:rPr>
          <w:b/>
          <w:bCs/>
          <w:color w:val="1B3A6B"/>
          <w:sz w:val="30"/>
          <w:szCs w:val="30"/>
        </w:rPr>
        <w:t xml:space="preserve">12. SDG Anchor Strip</w:t>
      </w:r>
    </w:p>
    <w:p>
      <w:pPr>
        <w:spacing w:after="160" w:line="300"/>
      </w:pPr>
      <w:r>
        <w:rPr>
          <w:sz w:val="22"/>
          <w:szCs w:val="22"/>
        </w:rPr>
        <w:t xml:space="preserve">The footer strip aligns the cover with nine United Nations Sustainable Development Goals directly mapped to MITCON's work: Zero Hunger (2), Affordable and Clean Energy (7), Decent Work and Economic Growth (8), Industry, Innovation and Infrastructure (9), Reduced Inequalities (10), Sustainable Cities and Communities (11), Responsible Consumption and Production (12), Climate Action (13), and Peace, Justice and Strong Institutions (16).</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This single strip gives auditors, ESG raters and international clients an instant, internationally recognized cross-reference — it pre-answers the first question any sustainability-literate reader will ask: "which SDGs does this map to?"</w:t>
      </w:r>
    </w:p>
    <w:p>
      <w:pPr>
        <w:pStyle w:val="Heading1"/>
        <w:spacing w:after="160" w:before="480"/>
      </w:pPr>
      <w:r>
        <w:rPr>
          <w:b/>
          <w:bCs/>
          <w:color w:val="1B3A6B"/>
          <w:sz w:val="30"/>
          <w:szCs w:val="30"/>
        </w:rPr>
        <w:t xml:space="preserve">13. Annual Report Banner</w:t>
      </w:r>
    </w:p>
    <w:p>
      <w:pPr>
        <w:spacing w:after="160" w:line="300"/>
      </w:pPr>
      <w:r>
        <w:rPr>
          <w:sz w:val="22"/>
          <w:szCs w:val="22"/>
        </w:rPr>
        <w:t xml:space="preserve">The dark blue footer carrying the reporting period acts as a visual anchor, separating the storytelling illustration from the formal institutional identity of the document. It signals — without a single extra word — that this is a serious corporate publication, not a marketing flyer.</w:t>
      </w:r>
    </w:p>
    <w:p>
      <w:pPr>
        <w:pBdr>
          <w:top w:val="single" w:color="2E7D32" w:sz="6" w:space="8"/>
          <w:bottom w:val="single" w:color="2E7D32" w:sz="6" w:space="8"/>
          <w:left w:val="single" w:color="2E7D32" w:sz="18" w:space="8"/>
          <w:right w:val="single" w:color="2E7D32" w:sz="6" w:space="8"/>
        </w:pBdr>
        <w:shd w:fill="EAF3EA" w:val="clear"/>
        <w:spacing w:after="280" w:before="120"/>
      </w:pPr>
      <w:r>
        <w:rPr>
          <w:b/>
          <w:bCs/>
          <w:color w:val="2E7D32"/>
          <w:sz w:val="21"/>
          <w:szCs w:val="21"/>
        </w:rPr>
        <w:t xml:space="preserve">WHY THIS WINS:  </w:t>
      </w:r>
      <w:r>
        <w:rPr>
          <w:sz w:val="21"/>
          <w:szCs w:val="21"/>
        </w:rPr>
        <w:t xml:space="preserve">This closes the composition the way a title closes a chapter: cleanly, formally, and without undercutting the warmth of the illustration above it.</w:t>
      </w:r>
    </w:p>
    <w:p>
      <w:pPr>
        <w:pStyle w:val="Heading1"/>
        <w:spacing w:after="160" w:before="480"/>
      </w:pPr>
      <w:r>
        <w:rPr>
          <w:b/>
          <w:bCs/>
          <w:color w:val="1B3A6B"/>
          <w:sz w:val="30"/>
          <w:szCs w:val="30"/>
        </w:rPr>
        <w:t xml:space="preserve">14. Strategic Messages Delivered Simultaneously</w:t>
      </w:r>
    </w:p>
    <w:p>
      <w:pPr>
        <w:pStyle w:val="ListParagraph"/>
        <w:numPr>
          <w:ilvl w:val="0"/>
          <w:numId w:val="2"/>
        </w:numPr>
        <w:spacing w:after="80"/>
      </w:pPr>
      <w:r>
        <w:rPr>
          <w:sz w:val="22"/>
          <w:szCs w:val="22"/>
        </w:rPr>
        <w:t xml:space="preserve">MITCON is evolving into an AI-enabled engineering and sustainability consultancy.</w:t>
      </w:r>
    </w:p>
    <w:p>
      <w:pPr>
        <w:pStyle w:val="ListParagraph"/>
        <w:numPr>
          <w:ilvl w:val="0"/>
          <w:numId w:val="2"/>
        </w:numPr>
        <w:spacing w:after="80"/>
      </w:pPr>
      <w:r>
        <w:rPr>
          <w:sz w:val="22"/>
          <w:szCs w:val="22"/>
        </w:rPr>
        <w:t xml:space="preserve">AI is a responsible enabler that supports, not replaces, human expertise.</w:t>
      </w:r>
    </w:p>
    <w:p>
      <w:pPr>
        <w:pStyle w:val="ListParagraph"/>
        <w:numPr>
          <w:ilvl w:val="0"/>
          <w:numId w:val="2"/>
        </w:numPr>
        <w:spacing w:after="80"/>
      </w:pPr>
      <w:r>
        <w:rPr>
          <w:sz w:val="22"/>
          <w:szCs w:val="22"/>
        </w:rPr>
        <w:t xml:space="preserve">Engineering creates value for people, planet and prosperity together.</w:t>
      </w:r>
    </w:p>
    <w:p>
      <w:pPr>
        <w:pStyle w:val="ListParagraph"/>
        <w:numPr>
          <w:ilvl w:val="0"/>
          <w:numId w:val="2"/>
        </w:numPr>
        <w:spacing w:after="80"/>
      </w:pPr>
      <w:r>
        <w:rPr>
          <w:sz w:val="22"/>
          <w:szCs w:val="22"/>
        </w:rPr>
        <w:t xml:space="preserve">ESG, climate resilience and digital innovation are shown as one integrated vision, not separate initiatives.</w:t>
      </w:r>
    </w:p>
    <w:p>
      <w:pPr>
        <w:pStyle w:val="ListParagraph"/>
        <w:numPr>
          <w:ilvl w:val="0"/>
          <w:numId w:val="2"/>
        </w:numPr>
        <w:spacing w:after="80"/>
      </w:pPr>
      <w:r>
        <w:rPr>
          <w:sz w:val="22"/>
          <w:szCs w:val="22"/>
        </w:rPr>
        <w:t xml:space="preserve">Alignment with the UN SDGs and ethical governance is visible, not just claimed.</w:t>
      </w:r>
    </w:p>
    <w:p>
      <w:pPr>
        <w:pStyle w:val="ListParagraph"/>
        <w:numPr>
          <w:ilvl w:val="0"/>
          <w:numId w:val="2"/>
        </w:numPr>
        <w:spacing w:after="80"/>
      </w:pPr>
      <w:r>
        <w:rPr>
          <w:sz w:val="22"/>
          <w:szCs w:val="22"/>
        </w:rPr>
        <w:t xml:space="preserve">The presence of families, children, engineers, agriculture, clean energy and smart cities proves impact across social, environmental and economic dimensions.</w:t>
      </w:r>
    </w:p>
    <w:p>
      <w:pPr>
        <w:pStyle w:val="Heading1"/>
        <w:spacing w:after="160" w:before="480"/>
      </w:pPr>
      <w:r>
        <w:rPr>
          <w:b/>
          <w:bCs/>
          <w:color w:val="1B3A6B"/>
          <w:sz w:val="30"/>
          <w:szCs w:val="30"/>
        </w:rPr>
        <w:t xml:space="preserve">15. Recommendation</w:t>
      </w:r>
    </w:p>
    <w:p>
      <w:pPr>
        <w:spacing w:after="160" w:line="300"/>
      </w:pPr>
      <w:r>
        <w:rPr>
          <w:sz w:val="22"/>
          <w:szCs w:val="22"/>
        </w:rPr>
        <w:t xml:space="preserve">Every element on this cover was chosen against a specific communication goal, and every one of those goals has been met without contradiction: engineering is positioned first, AI is positioned as responsible and human-centered, sustainability runs through the entire landscape, and the human story keeps the whole composition from feeling like a technology showcase.</w:t>
      </w:r>
    </w:p>
    <w:p>
      <w:pPr>
        <w:spacing w:after="200" w:line="300"/>
      </w:pPr>
      <w:r>
        <w:rPr>
          <w:i/>
          <w:iCs/>
          <w:color w:val="2E7D32"/>
          <w:sz w:val="22"/>
          <w:szCs w:val="22"/>
        </w:rPr>
        <w:t xml:space="preserve">This design earns its place on the cover of a formal annual report. It should be approved as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2026-07-28T11:04:11.180Z</dcterms:created>
  <dcterms:modified xsi:type="dcterms:W3CDTF">2026-07-28T11:04:11.191Z</dcterms:modified>
</cp:coreProperties>
</file>

<file path=docProps/custom.xml><?xml version="1.0" encoding="utf-8"?>
<Properties xmlns="http://schemas.openxmlformats.org/officeDocument/2006/custom-properties" xmlns:vt="http://schemas.openxmlformats.org/officeDocument/2006/docPropsVTypes"/>
</file>