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Execution Report - simo_tc_acq</w:t>
      </w:r>
    </w:p>
    <w:p>
      <w:pPr>
        <w:pStyle w:val="Heading2"/>
      </w:pPr>
      <w:r>
        <w:t>Step 1: Basket Page</w:t>
      </w:r>
    </w:p>
    <w:p>
      <w:r>
        <w:t>Timestamp: 2026-06-25 19:02:18</w:t>
      </w:r>
    </w:p>
    <w:p>
      <w:r>
        <w:drawing>
          <wp:inline xmlns:a="http://schemas.openxmlformats.org/drawingml/2006/main" xmlns:pic="http://schemas.openxmlformats.org/drawingml/2006/picture">
            <wp:extent cx="5029200" cy="127340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Basket_Page_2026-06-25_19-02-18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27340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Step 2: Checkout Page</w:t>
      </w:r>
    </w:p>
    <w:p>
      <w:r>
        <w:t>Timestamp: 2026-06-25 19:02:38</w:t>
      </w:r>
    </w:p>
    <w:p>
      <w:r>
        <w:drawing>
          <wp:inline xmlns:a="http://schemas.openxmlformats.org/drawingml/2006/main" xmlns:pic="http://schemas.openxmlformats.org/drawingml/2006/picture">
            <wp:extent cx="5029200" cy="1435210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Checkout_Page_2026-06-25_19-02-38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4352105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