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D7A842"/>
          <w:sz w:val="20"/>
        </w:rPr>
        <w:t>FINAL PROJECT BRIEF</w:t>
      </w:r>
    </w:p>
    <w:p>
      <w:pPr>
        <w:spacing w:after="60"/>
      </w:pPr>
      <w:r>
        <w:rPr>
          <w:rFonts w:ascii="Calibri" w:hAnsi="Calibri"/>
          <w:b/>
          <w:i w:val="0"/>
          <w:color w:val="173C36"/>
          <w:sz w:val="50"/>
        </w:rPr>
        <w:t>Sri Lanka Business Intelligence Copilot</w:t>
      </w:r>
    </w:p>
    <w:p>
      <w:pPr>
        <w:spacing w:after="200"/>
      </w:pPr>
      <w:r>
        <w:rPr>
          <w:rFonts w:ascii="Calibri" w:hAnsi="Calibri"/>
          <w:b w:val="0"/>
          <w:i w:val="0"/>
          <w:color w:val="64706B"/>
          <w:sz w:val="25"/>
        </w:rPr>
        <w:t>Grounded business research and multimodal land intelligence for Sri Lankan entrepreneurs and investors</w:t>
      </w:r>
    </w:p>
    <w:p>
      <w:pPr>
        <w:pStyle w:val="Heading1"/>
        <w:keepNext/>
      </w:pPr>
      <w:r>
        <w:t>Problem and objective</w:t>
      </w:r>
    </w:p>
    <w:p>
      <w:pPr>
        <w:spacing w:after="80" w:line="264" w:lineRule="auto"/>
      </w:pPr>
      <w:r>
        <w:rPr>
          <w:rFonts w:ascii="Calibri" w:hAnsi="Calibri"/>
          <w:b/>
          <w:i w:val="0"/>
          <w:color w:val="2F6D61"/>
          <w:sz w:val="21"/>
        </w:rPr>
        <w:t xml:space="preserve">Problem: </w:t>
      </w:r>
      <w:r>
        <w:rPr>
          <w:rFonts w:ascii="Calibri" w:hAnsi="Calibri"/>
          <w:b w:val="0"/>
          <w:i w:val="0"/>
          <w:color w:val="101918"/>
          <w:sz w:val="21"/>
        </w:rPr>
        <w:t>Business evidence is fragmented across public agencies, while land decisions also depend on information hidden in survey plans and on location-specific infrastructure.</w:t>
      </w:r>
    </w:p>
    <w:p>
      <w:pPr>
        <w:spacing w:after="80" w:line="264" w:lineRule="auto"/>
      </w:pPr>
      <w:r>
        <w:rPr>
          <w:rFonts w:ascii="Calibri" w:hAnsi="Calibri"/>
          <w:b/>
          <w:i w:val="0"/>
          <w:color w:val="2F6D61"/>
          <w:sz w:val="21"/>
        </w:rPr>
        <w:t xml:space="preserve">Objective: </w:t>
      </w:r>
      <w:r>
        <w:rPr>
          <w:rFonts w:ascii="Calibri" w:hAnsi="Calibri"/>
          <w:b w:val="0"/>
          <w:i w:val="0"/>
          <w:color w:val="101918"/>
          <w:sz w:val="21"/>
        </w:rPr>
        <w:t>Provide one web application that answers cited business questions, analyses PDF or image land documents, adds geospatial context, and returns transparent opportunities, risks, and verification requirements.</w:t>
      </w:r>
    </w:p>
    <w:p>
      <w:pPr>
        <w:pStyle w:val="Heading1"/>
        <w:keepNext/>
      </w:pPr>
      <w:r>
        <w:t>Architecture</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c>
          <w:tcPr>
            <w:tcW w:type="dxa" w:w="2340"/>
            <w:shd w:fill="F2F4F2"/>
            <w:tcMar>
              <w:top w:w="80" w:type="dxa"/>
              <w:bottom w:w="80" w:type="dxa"/>
              <w:start w:w="120" w:type="dxa"/>
              <w:end w:w="120" w:type="dxa"/>
            </w:tcMar>
          </w:tcPr>
          <w:p>
            <w:pPr>
              <w:jc w:val="center"/>
            </w:pPr>
            <w:r/>
            <w:r>
              <w:rPr>
                <w:rFonts w:ascii="Calibri" w:hAnsi="Calibri"/>
                <w:b/>
                <w:i w:val="0"/>
                <w:color w:val="101918"/>
                <w:sz w:val="18"/>
              </w:rPr>
              <w:t>Next.js UI</w:t>
            </w:r>
          </w:p>
        </w:tc>
        <w:tc>
          <w:tcPr>
            <w:tcW w:type="dxa" w:w="2340"/>
            <w:shd w:fill="E2ECE8"/>
            <w:tcMar>
              <w:top w:w="80" w:type="dxa"/>
              <w:bottom w:w="80" w:type="dxa"/>
              <w:start w:w="120" w:type="dxa"/>
              <w:end w:w="120" w:type="dxa"/>
            </w:tcMar>
          </w:tcPr>
          <w:p>
            <w:pPr>
              <w:jc w:val="center"/>
            </w:pPr>
            <w:r/>
            <w:r>
              <w:rPr>
                <w:rFonts w:ascii="Calibri" w:hAnsi="Calibri"/>
                <w:b/>
                <w:i w:val="0"/>
                <w:color w:val="173C36"/>
                <w:sz w:val="18"/>
              </w:rPr>
              <w:t>FastAPI</w:t>
            </w:r>
          </w:p>
        </w:tc>
        <w:tc>
          <w:tcPr>
            <w:tcW w:type="dxa" w:w="2340"/>
            <w:shd w:fill="F2F4F2"/>
            <w:tcMar>
              <w:top w:w="80" w:type="dxa"/>
              <w:bottom w:w="80" w:type="dxa"/>
              <w:start w:w="120" w:type="dxa"/>
              <w:end w:w="120" w:type="dxa"/>
            </w:tcMar>
          </w:tcPr>
          <w:p>
            <w:pPr>
              <w:jc w:val="center"/>
            </w:pPr>
            <w:r/>
            <w:r>
              <w:rPr>
                <w:rFonts w:ascii="Calibri" w:hAnsi="Calibri"/>
                <w:b/>
                <w:i w:val="0"/>
                <w:color w:val="101918"/>
                <w:sz w:val="18"/>
              </w:rPr>
              <w:t>RAG + memory</w:t>
            </w:r>
          </w:p>
        </w:tc>
        <w:tc>
          <w:tcPr>
            <w:tcW w:type="dxa" w:w="2340"/>
            <w:shd w:fill="F2F4F2"/>
            <w:tcMar>
              <w:top w:w="80" w:type="dxa"/>
              <w:bottom w:w="80" w:type="dxa"/>
              <w:start w:w="120" w:type="dxa"/>
              <w:end w:w="120" w:type="dxa"/>
            </w:tcMar>
          </w:tcPr>
          <w:p>
            <w:pPr>
              <w:jc w:val="center"/>
            </w:pPr>
            <w:r/>
            <w:r>
              <w:rPr>
                <w:rFonts w:ascii="Calibri" w:hAnsi="Calibri"/>
                <w:b/>
                <w:i w:val="0"/>
                <w:color w:val="101918"/>
                <w:sz w:val="18"/>
              </w:rPr>
              <w:t>Answer + sources</w:t>
            </w:r>
          </w:p>
        </w:tc>
      </w:tr>
      <w:tr>
        <w:tc>
          <w:tcPr>
            <w:tcW w:type="dxa" w:w="2340"/>
            <w:shd w:fill="F2F4F2"/>
            <w:tcMar>
              <w:top w:w="80" w:type="dxa"/>
              <w:bottom w:w="80" w:type="dxa"/>
              <w:start w:w="120" w:type="dxa"/>
              <w:end w:w="120" w:type="dxa"/>
            </w:tcMar>
          </w:tcPr>
          <w:p>
            <w:pPr>
              <w:jc w:val="center"/>
            </w:pPr>
            <w:r/>
            <w:r>
              <w:rPr>
                <w:rFonts w:ascii="Calibri" w:hAnsi="Calibri"/>
                <w:b/>
                <w:i w:val="0"/>
                <w:color w:val="101918"/>
                <w:sz w:val="18"/>
              </w:rPr>
              <w:t>Land upload</w:t>
            </w:r>
          </w:p>
        </w:tc>
        <w:tc>
          <w:tcPr>
            <w:tcW w:type="dxa" w:w="2340"/>
            <w:shd w:fill="E2ECE8"/>
            <w:tcMar>
              <w:top w:w="80" w:type="dxa"/>
              <w:bottom w:w="80" w:type="dxa"/>
              <w:start w:w="120" w:type="dxa"/>
              <w:end w:w="120" w:type="dxa"/>
            </w:tcMar>
          </w:tcPr>
          <w:p>
            <w:pPr>
              <w:jc w:val="center"/>
            </w:pPr>
            <w:r/>
            <w:r>
              <w:rPr>
                <w:rFonts w:ascii="Calibri" w:hAnsi="Calibri"/>
                <w:b/>
                <w:i w:val="0"/>
                <w:color w:val="173C36"/>
                <w:sz w:val="18"/>
              </w:rPr>
              <w:t>Model-directed agent</w:t>
            </w:r>
          </w:p>
        </w:tc>
        <w:tc>
          <w:tcPr>
            <w:tcW w:type="dxa" w:w="2340"/>
            <w:shd w:fill="F2F4F2"/>
            <w:tcMar>
              <w:top w:w="80" w:type="dxa"/>
              <w:bottom w:w="80" w:type="dxa"/>
              <w:start w:w="120" w:type="dxa"/>
              <w:end w:w="120" w:type="dxa"/>
            </w:tcMar>
          </w:tcPr>
          <w:p>
            <w:pPr>
              <w:jc w:val="center"/>
            </w:pPr>
            <w:r/>
            <w:r>
              <w:rPr>
                <w:rFonts w:ascii="Calibri" w:hAnsi="Calibri"/>
                <w:b/>
                <w:i w:val="0"/>
                <w:color w:val="101918"/>
                <w:sz w:val="18"/>
              </w:rPr>
              <w:t>Vision + OSM</w:t>
            </w:r>
          </w:p>
        </w:tc>
        <w:tc>
          <w:tcPr>
            <w:tcW w:type="dxa" w:w="2340"/>
            <w:shd w:fill="F2F4F2"/>
            <w:tcMar>
              <w:top w:w="80" w:type="dxa"/>
              <w:bottom w:w="80" w:type="dxa"/>
              <w:start w:w="120" w:type="dxa"/>
              <w:end w:w="120" w:type="dxa"/>
            </w:tcMar>
          </w:tcPr>
          <w:p>
            <w:pPr>
              <w:jc w:val="center"/>
            </w:pPr>
            <w:r/>
            <w:r>
              <w:rPr>
                <w:rFonts w:ascii="Calibri" w:hAnsi="Calibri"/>
                <w:b/>
                <w:i w:val="0"/>
                <w:color w:val="101918"/>
                <w:sz w:val="18"/>
              </w:rPr>
              <w:t>Structured report</w:t>
            </w:r>
          </w:p>
        </w:tc>
      </w:tr>
    </w:tbl>
    <w:p>
      <w:pPr>
        <w:spacing w:before="80" w:after="100"/>
      </w:pPr>
      <w:r>
        <w:rPr>
          <w:rFonts w:ascii="Calibri" w:hAnsi="Calibri"/>
          <w:b w:val="0"/>
          <w:i/>
          <w:color w:val="64706B"/>
          <w:sz w:val="19"/>
        </w:rPr>
        <w:t>Flow: question or upload -&gt; API -&gt; evidence tools -&gt; grounded result. PostgreSQL/pgvector supports retrieval; LangSmith records multi-step runs.</w:t>
      </w:r>
    </w:p>
    <w:p>
      <w:pPr>
        <w:pStyle w:val="Heading1"/>
        <w:keepNext/>
      </w:pPr>
      <w:r>
        <w:t>Technology and data</w:t>
      </w:r>
    </w:p>
    <w:p>
      <w:pPr>
        <w:spacing w:after="80" w:line="264" w:lineRule="auto"/>
      </w:pPr>
      <w:r>
        <w:rPr>
          <w:rFonts w:ascii="Calibri" w:hAnsi="Calibri"/>
          <w:b/>
          <w:i w:val="0"/>
          <w:color w:val="2F6D61"/>
          <w:sz w:val="21"/>
        </w:rPr>
        <w:t xml:space="preserve">Stack: </w:t>
      </w:r>
      <w:r>
        <w:rPr>
          <w:rFonts w:ascii="Calibri" w:hAnsi="Calibri"/>
          <w:b w:val="0"/>
          <w:i w:val="0"/>
          <w:color w:val="101918"/>
          <w:sz w:val="21"/>
        </w:rPr>
        <w:t>Python, FastAPI, Next.js, PostgreSQL with pgvector, OpenAI models, cross-encoder reranking, LangSmith, Nominatim and Overpass.</w:t>
      </w:r>
    </w:p>
    <w:p>
      <w:pPr>
        <w:spacing w:after="80" w:line="264" w:lineRule="auto"/>
      </w:pPr>
      <w:r>
        <w:rPr>
          <w:rFonts w:ascii="Calibri" w:hAnsi="Calibri"/>
          <w:b/>
          <w:i w:val="0"/>
          <w:color w:val="2F6D61"/>
          <w:sz w:val="21"/>
        </w:rPr>
        <w:t xml:space="preserve">Sources: </w:t>
      </w:r>
      <w:r>
        <w:rPr>
          <w:rFonts w:ascii="Calibri" w:hAnsi="Calibri"/>
          <w:b w:val="0"/>
          <w:i w:val="0"/>
          <w:color w:val="101918"/>
          <w:sz w:val="21"/>
        </w:rPr>
        <w:t>Central Bank of Sri Lanka, Board of Investment, Export Development Board, Census and Statistics, Agriculture, Customs, Inland Revenue, World Bank, IMF, FAO and configured local documents. Actual coverage depends on ingestion state.</w:t>
      </w:r>
    </w:p>
    <w:p>
      <w:r>
        <w:br w:type="page"/>
      </w:r>
    </w:p>
    <w:p>
      <w:pPr>
        <w:pStyle w:val="Heading1"/>
        <w:keepNext/>
      </w:pPr>
      <w:r>
        <w:t>How the system works</w:t>
      </w:r>
    </w:p>
    <w:p>
      <w:pPr>
        <w:pStyle w:val="Heading2"/>
        <w:keepNext/>
      </w:pPr>
      <w:r>
        <w:t>1. Grounded knowledge path</w:t>
      </w:r>
    </w:p>
    <w:p>
      <w:pPr>
        <w:spacing w:after="80" w:line="264" w:lineRule="auto"/>
      </w:pPr>
      <w:r>
        <w:rPr>
          <w:rFonts w:ascii="Calibri" w:hAnsi="Calibri"/>
          <w:b/>
          <w:i w:val="0"/>
          <w:color w:val="2F6D61"/>
          <w:sz w:val="21"/>
        </w:rPr>
        <w:t xml:space="preserve">Retrieve: </w:t>
      </w:r>
      <w:r>
        <w:rPr>
          <w:rFonts w:ascii="Calibri" w:hAnsi="Calibri"/>
          <w:b w:val="0"/>
          <w:i w:val="0"/>
          <w:color w:val="101918"/>
          <w:sz w:val="21"/>
        </w:rPr>
        <w:t>Embed the question and retrieve 20 candidates from pgvector.</w:t>
      </w:r>
    </w:p>
    <w:p>
      <w:pPr>
        <w:spacing w:after="80" w:line="264" w:lineRule="auto"/>
      </w:pPr>
      <w:r>
        <w:rPr>
          <w:rFonts w:ascii="Calibri" w:hAnsi="Calibri"/>
          <w:b/>
          <w:i w:val="0"/>
          <w:color w:val="2F6D61"/>
          <w:sz w:val="21"/>
        </w:rPr>
        <w:t xml:space="preserve">Rank: </w:t>
      </w:r>
      <w:r>
        <w:rPr>
          <w:rFonts w:ascii="Calibri" w:hAnsi="Calibri"/>
          <w:b w:val="0"/>
          <w:i w:val="0"/>
          <w:color w:val="101918"/>
          <w:sz w:val="21"/>
        </w:rPr>
        <w:t>Cross-encoder reranking selects the top three chunks.</w:t>
      </w:r>
    </w:p>
    <w:p>
      <w:pPr>
        <w:spacing w:after="80" w:line="264" w:lineRule="auto"/>
      </w:pPr>
      <w:r>
        <w:rPr>
          <w:rFonts w:ascii="Calibri" w:hAnsi="Calibri"/>
          <w:b/>
          <w:i w:val="0"/>
          <w:color w:val="2F6D61"/>
          <w:sz w:val="21"/>
        </w:rPr>
        <w:t xml:space="preserve">Answer: </w:t>
      </w:r>
      <w:r>
        <w:rPr>
          <w:rFonts w:ascii="Calibri" w:hAnsi="Calibri"/>
          <w:b w:val="0"/>
          <w:i w:val="0"/>
          <w:color w:val="101918"/>
          <w:sz w:val="21"/>
        </w:rPr>
        <w:t>The model receives conversation history and retrieved context; the response returns publisher, document and chunk metadata.</w:t>
      </w:r>
    </w:p>
    <w:p>
      <w:pPr>
        <w:pStyle w:val="Heading2"/>
        <w:keepNext/>
      </w:pPr>
      <w:r>
        <w:t>2. Model-directed agent path</w:t>
      </w:r>
    </w:p>
    <w:p>
      <w:pPr>
        <w:spacing w:after="80" w:line="264" w:lineRule="auto"/>
      </w:pPr>
      <w:r>
        <w:rPr>
          <w:rFonts w:ascii="Calibri" w:hAnsi="Calibri"/>
          <w:b/>
          <w:i w:val="0"/>
          <w:color w:val="2F6D61"/>
          <w:sz w:val="21"/>
        </w:rPr>
        <w:t xml:space="preserve">Decision: </w:t>
      </w:r>
      <w:r>
        <w:rPr>
          <w:rFonts w:ascii="Calibri" w:hAnsi="Calibri"/>
          <w:b w:val="0"/>
          <w:i w:val="0"/>
          <w:color w:val="101918"/>
          <w:sz w:val="21"/>
        </w:rPr>
        <w:t>A traced LLM routing step selects knowledge_search or business_advisor and records its reason.</w:t>
      </w:r>
    </w:p>
    <w:p>
      <w:pPr>
        <w:spacing w:after="80" w:line="264" w:lineRule="auto"/>
      </w:pPr>
      <w:r>
        <w:rPr>
          <w:rFonts w:ascii="Calibri" w:hAnsi="Calibri"/>
          <w:b/>
          <w:i w:val="0"/>
          <w:color w:val="2F6D61"/>
          <w:sz w:val="21"/>
        </w:rPr>
        <w:t xml:space="preserve">Memory: </w:t>
      </w:r>
      <w:r>
        <w:rPr>
          <w:rFonts w:ascii="Calibri" w:hAnsi="Calibri"/>
          <w:b w:val="0"/>
          <w:i w:val="0"/>
          <w:color w:val="101918"/>
          <w:sz w:val="21"/>
        </w:rPr>
        <w:t>Conversation history contextualises follow-up questions before tool choice and execution.</w:t>
      </w:r>
    </w:p>
    <w:p>
      <w:pPr>
        <w:spacing w:after="80" w:line="264" w:lineRule="auto"/>
      </w:pPr>
      <w:r>
        <w:rPr>
          <w:rFonts w:ascii="Calibri" w:hAnsi="Calibri"/>
          <w:b/>
          <w:i w:val="0"/>
          <w:color w:val="2F6D61"/>
          <w:sz w:val="21"/>
        </w:rPr>
        <w:t xml:space="preserve">Land context: </w:t>
      </w:r>
      <w:r>
        <w:rPr>
          <w:rFonts w:ascii="Calibri" w:hAnsi="Calibri"/>
          <w:b w:val="0"/>
          <w:i w:val="0"/>
          <w:color w:val="101918"/>
          <w:sz w:val="21"/>
        </w:rPr>
        <w:t>A structured LandBusinessReport can be passed to the advisor so recommendations separate observed facts, external enrichment, inference, risk and missing verification.</w:t>
      </w:r>
    </w:p>
    <w:p>
      <w:pPr>
        <w:pStyle w:val="Heading2"/>
        <w:keepNext/>
      </w:pPr>
      <w:r>
        <w:t>3. Multimodal Land Intelligence path</w:t>
      </w:r>
    </w:p>
    <w:p>
      <w:pPr>
        <w:spacing w:after="80" w:line="264" w:lineRule="auto"/>
      </w:pPr>
      <w:r>
        <w:rPr>
          <w:rFonts w:ascii="Calibri" w:hAnsi="Calibri"/>
          <w:b/>
          <w:i w:val="0"/>
          <w:color w:val="2F6D61"/>
          <w:sz w:val="21"/>
        </w:rPr>
        <w:t xml:space="preserve">Input: </w:t>
      </w:r>
      <w:r>
        <w:rPr>
          <w:rFonts w:ascii="Calibri" w:hAnsi="Calibri"/>
          <w:b w:val="0"/>
          <w:i w:val="0"/>
          <w:color w:val="101918"/>
          <w:sz w:val="21"/>
        </w:rPr>
        <w:t>PDF, PNG or JPEG survey material is rendered per page and interpreted with vision rather than treated as plain extracted text.</w:t>
      </w:r>
    </w:p>
    <w:p>
      <w:pPr>
        <w:spacing w:after="80" w:line="264" w:lineRule="auto"/>
      </w:pPr>
      <w:r>
        <w:rPr>
          <w:rFonts w:ascii="Calibri" w:hAnsi="Calibri"/>
          <w:b/>
          <w:i w:val="0"/>
          <w:color w:val="2F6D61"/>
          <w:sz w:val="21"/>
        </w:rPr>
        <w:t xml:space="preserve">Enrichment: </w:t>
      </w:r>
      <w:r>
        <w:rPr>
          <w:rFonts w:ascii="Calibri" w:hAnsi="Calibri"/>
          <w:b w:val="0"/>
          <w:i w:val="0"/>
          <w:color w:val="101918"/>
          <w:sz w:val="21"/>
        </w:rPr>
        <w:t>Visible place information is normalised, geocoded with confidence and location level, and enriched with nearby OpenStreetMap roads and amenities.</w:t>
      </w:r>
    </w:p>
    <w:p>
      <w:pPr>
        <w:spacing w:after="80" w:line="264" w:lineRule="auto"/>
      </w:pPr>
      <w:r>
        <w:rPr>
          <w:rFonts w:ascii="Calibri" w:hAnsi="Calibri"/>
          <w:b/>
          <w:i w:val="0"/>
          <w:color w:val="2F6D61"/>
          <w:sz w:val="21"/>
        </w:rPr>
        <w:t xml:space="preserve">Output: </w:t>
      </w:r>
      <w:r>
        <w:rPr>
          <w:rFonts w:ascii="Calibri" w:hAnsi="Calibri"/>
          <w:b w:val="0"/>
          <w:i w:val="0"/>
          <w:color w:val="101918"/>
          <w:sz w:val="21"/>
        </w:rPr>
        <w:t>A structured report presents property evidence, opportunities, risks, uncertainty and actions requiring professional verification.</w:t>
      </w:r>
    </w:p>
    <w:p>
      <w:pPr>
        <w:pStyle w:val="Heading1"/>
        <w:keepNext/>
      </w:pPr>
      <w:r>
        <w:t>Observability and resilience</w:t>
      </w:r>
    </w:p>
    <w:tbl>
      <w:tblPr>
        <w:tblStyle w:val="TableGrid"/>
        <w:tblW w:type="dxa" w:w="9360"/>
        <w:tblLayout w:type="fixed"/>
        <w:tblLook w:firstColumn="1" w:firstRow="1" w:lastColumn="0" w:lastRow="0" w:noHBand="0" w:noVBand="1" w:val="04A0"/>
        <w:tblInd w:w="120" w:type="dxa"/>
      </w:tblPr>
      <w:tblGrid>
        <w:gridCol w:w="4050"/>
        <w:gridCol w:w="5310"/>
      </w:tblGrid>
      <w:tr>
        <w:tc>
          <w:tcPr>
            <w:tcW w:type="dxa" w:w="4050"/>
            <w:shd w:fill="173C36"/>
            <w:tcMar>
              <w:top w:w="80" w:type="dxa"/>
              <w:bottom w:w="80" w:type="dxa"/>
              <w:start w:w="120" w:type="dxa"/>
              <w:end w:w="120" w:type="dxa"/>
            </w:tcMar>
          </w:tcPr>
          <w:p>
            <w:r/>
            <w:r>
              <w:rPr>
                <w:rFonts w:ascii="Calibri" w:hAnsi="Calibri"/>
                <w:b/>
                <w:i w:val="0"/>
                <w:color w:val="FFFFFF"/>
                <w:sz w:val="19"/>
              </w:rPr>
              <w:t>Trace hierarchy</w:t>
            </w:r>
          </w:p>
        </w:tc>
        <w:tc>
          <w:tcPr>
            <w:tcW w:type="dxa" w:w="5310"/>
            <w:shd w:fill="173C36"/>
            <w:tcMar>
              <w:top w:w="80" w:type="dxa"/>
              <w:bottom w:w="80" w:type="dxa"/>
              <w:start w:w="120" w:type="dxa"/>
              <w:end w:w="120" w:type="dxa"/>
            </w:tcMar>
          </w:tcPr>
          <w:p>
            <w:r/>
            <w:r>
              <w:rPr>
                <w:rFonts w:ascii="Calibri" w:hAnsi="Calibri"/>
                <w:b/>
                <w:i w:val="0"/>
                <w:color w:val="FFFFFF"/>
                <w:sz w:val="19"/>
              </w:rPr>
              <w:t>What it proves</w:t>
            </w:r>
          </w:p>
        </w:tc>
      </w:tr>
      <w:tr>
        <w:tc>
          <w:tcPr>
            <w:tcW w:type="dxa" w:w="4050"/>
            <w:tcMar>
              <w:top w:w="80" w:type="dxa"/>
              <w:bottom w:w="80" w:type="dxa"/>
              <w:start w:w="120" w:type="dxa"/>
              <w:end w:w="120" w:type="dxa"/>
            </w:tcMar>
          </w:tcPr>
          <w:p>
            <w:r/>
            <w:r>
              <w:rPr>
                <w:rFonts w:ascii="Calibri" w:hAnsi="Calibri"/>
                <w:b w:val="0"/>
                <w:i w:val="0"/>
                <w:color w:val="101918"/>
                <w:sz w:val="18"/>
              </w:rPr>
              <w:t>Business Copilot Agent -&gt; Choose Agent Tool -&gt; selected tool</w:t>
            </w:r>
          </w:p>
        </w:tc>
        <w:tc>
          <w:tcPr>
            <w:tcW w:type="dxa" w:w="5310"/>
            <w:tcMar>
              <w:top w:w="80" w:type="dxa"/>
              <w:bottom w:w="80" w:type="dxa"/>
              <w:start w:w="120" w:type="dxa"/>
              <w:end w:w="120" w:type="dxa"/>
            </w:tcMar>
          </w:tcPr>
          <w:p>
            <w:r/>
            <w:r>
              <w:rPr>
                <w:rFonts w:ascii="Calibri" w:hAnsi="Calibri"/>
                <w:b w:val="0"/>
                <w:i w:val="0"/>
                <w:color w:val="101918"/>
                <w:sz w:val="18"/>
              </w:rPr>
              <w:t>The model selected a tool using the question, history and land-report availability.</w:t>
            </w:r>
          </w:p>
        </w:tc>
      </w:tr>
      <w:tr>
        <w:tc>
          <w:tcPr>
            <w:tcW w:type="dxa" w:w="4050"/>
            <w:tcMar>
              <w:top w:w="80" w:type="dxa"/>
              <w:bottom w:w="80" w:type="dxa"/>
              <w:start w:w="120" w:type="dxa"/>
              <w:end w:w="120" w:type="dxa"/>
            </w:tcMar>
          </w:tcPr>
          <w:p>
            <w:r/>
            <w:r>
              <w:rPr>
                <w:rFonts w:ascii="Calibri" w:hAnsi="Calibri"/>
                <w:b w:val="0"/>
                <w:i w:val="0"/>
                <w:color w:val="101918"/>
                <w:sz w:val="18"/>
              </w:rPr>
              <w:t>Land Analysis -&gt; parser -&gt; vision -&gt; location -&gt; geocode -&gt; nearby -&gt; analysis -&gt; report</w:t>
            </w:r>
          </w:p>
        </w:tc>
        <w:tc>
          <w:tcPr>
            <w:tcW w:type="dxa" w:w="5310"/>
            <w:tcMar>
              <w:top w:w="80" w:type="dxa"/>
              <w:bottom w:w="80" w:type="dxa"/>
              <w:start w:w="120" w:type="dxa"/>
              <w:end w:w="120" w:type="dxa"/>
            </w:tcMar>
          </w:tcPr>
          <w:p>
            <w:r/>
            <w:r>
              <w:rPr>
                <w:rFonts w:ascii="Calibri" w:hAnsi="Calibri"/>
                <w:b w:val="0"/>
                <w:i w:val="0"/>
                <w:color w:val="101918"/>
                <w:sz w:val="18"/>
              </w:rPr>
              <w:t>Inputs, outputs, latency, conditional steps, fallbacks and errors are visible.</w:t>
            </w:r>
          </w:p>
        </w:tc>
      </w:tr>
    </w:tbl>
    <w:p>
      <w:r>
        <w:br w:type="page"/>
      </w:r>
    </w:p>
    <w:p>
      <w:pPr>
        <w:pStyle w:val="Heading1"/>
        <w:keepNext/>
      </w:pPr>
      <w:r>
        <w:t>Evaluation, status and responsible use</w:t>
      </w:r>
    </w:p>
    <w:p>
      <w:pPr>
        <w:pStyle w:val="Heading2"/>
        <w:keepNext/>
      </w:pPr>
      <w:r>
        <w:t>Measured retrieval benchmark</w:t>
      </w:r>
    </w:p>
    <w:p>
      <w:pPr>
        <w:spacing w:after="80" w:line="264" w:lineRule="auto"/>
      </w:pPr>
      <w:r>
        <w:rPr>
          <w:rFonts w:ascii="Calibri" w:hAnsi="Calibri"/>
          <w:b/>
          <w:i w:val="0"/>
          <w:color w:val="2F6D61"/>
          <w:sz w:val="21"/>
        </w:rPr>
        <w:t xml:space="preserve">Coverage: </w:t>
      </w:r>
      <w:r>
        <w:rPr>
          <w:rFonts w:ascii="Calibri" w:hAnsi="Calibri"/>
          <w:b w:val="0"/>
          <w:i w:val="0"/>
          <w:color w:val="101918"/>
          <w:sz w:val="21"/>
        </w:rPr>
        <w:t>30 questions across eight categories; the same 20 candidates feed both systems.</w:t>
      </w:r>
    </w:p>
    <w:p>
      <w:pPr>
        <w:spacing w:after="80" w:line="264" w:lineRule="auto"/>
      </w:pPr>
      <w:r>
        <w:rPr>
          <w:rFonts w:ascii="Calibri" w:hAnsi="Calibri"/>
          <w:b/>
          <w:i w:val="0"/>
          <w:color w:val="2F6D61"/>
          <w:sz w:val="21"/>
        </w:rPr>
        <w:t xml:space="preserve">Baseline: </w:t>
      </w:r>
      <w:r>
        <w:rPr>
          <w:rFonts w:ascii="Calibri" w:hAnsi="Calibri"/>
          <w:b w:val="0"/>
          <w:i w:val="0"/>
          <w:color w:val="101918"/>
          <w:sz w:val="21"/>
        </w:rPr>
        <w:t>Vector-only retrieval scored 70.0% Hit@3, 0.611 MRR and 0.556 Precision@3.</w:t>
      </w:r>
    </w:p>
    <w:p>
      <w:pPr>
        <w:spacing w:after="80" w:line="264" w:lineRule="auto"/>
      </w:pPr>
      <w:r>
        <w:rPr>
          <w:rFonts w:ascii="Calibri" w:hAnsi="Calibri"/>
          <w:b/>
          <w:i w:val="0"/>
          <w:color w:val="2F6D61"/>
          <w:sz w:val="21"/>
        </w:rPr>
        <w:t xml:space="preserve">Production: </w:t>
      </w:r>
      <w:r>
        <w:rPr>
          <w:rFonts w:ascii="Calibri" w:hAnsi="Calibri"/>
          <w:b w:val="0"/>
          <w:i w:val="0"/>
          <w:color w:val="101918"/>
          <w:sz w:val="21"/>
        </w:rPr>
        <w:t>Vector plus cross-encoder reranking scored 66.7% Hit@3, 0.600 MRR and 0.400 Precision@3. The result does not justify claiming a reranking gain.</w:t>
      </w:r>
    </w:p>
    <w:p>
      <w:pPr>
        <w:spacing w:after="80" w:line="264" w:lineRule="auto"/>
      </w:pPr>
      <w:r>
        <w:rPr>
          <w:rFonts w:ascii="Calibri" w:hAnsi="Calibri"/>
          <w:b/>
          <w:i w:val="0"/>
          <w:color w:val="2F6D61"/>
          <w:sz w:val="21"/>
        </w:rPr>
        <w:t xml:space="preserve">Answer quality: </w:t>
      </w:r>
      <w:r>
        <w:rPr>
          <w:rFonts w:ascii="Calibri" w:hAnsi="Calibri"/>
          <w:b w:val="0"/>
          <w:i w:val="0"/>
          <w:color w:val="101918"/>
          <w:sz w:val="21"/>
        </w:rPr>
        <w:t>All 30 production answers were graded: groundedness 4.533/5, relevance 4.667/5 and citation quality 4.667/5. Thirteen answers contained at least one flagged unsupported claim; LLM-judge results require manual spot-checking.</w:t>
      </w:r>
    </w:p>
    <w:p>
      <w:pPr>
        <w:pStyle w:val="Heading1"/>
        <w:keepNext/>
      </w:pPr>
      <w:r>
        <w:t>Requirement status</w:t>
      </w:r>
    </w:p>
    <w:tbl>
      <w:tblPr>
        <w:tblStyle w:val="TableGrid"/>
        <w:tblW w:type="dxa" w:w="9360"/>
        <w:tblLayout w:type="fixed"/>
        <w:tblLook w:firstColumn="1" w:firstRow="1" w:lastColumn="0" w:lastRow="0" w:noHBand="0" w:noVBand="1" w:val="04A0"/>
        <w:tblInd w:w="120" w:type="dxa"/>
      </w:tblPr>
      <w:tblGrid>
        <w:gridCol w:w="2200"/>
        <w:gridCol w:w="1560"/>
        <w:gridCol w:w="5600"/>
      </w:tblGrid>
      <w:tr>
        <w:tc>
          <w:tcPr>
            <w:tcW w:type="dxa" w:w="2200"/>
            <w:shd w:fill="173C36"/>
            <w:tcMar>
              <w:top w:w="80" w:type="dxa"/>
              <w:bottom w:w="80" w:type="dxa"/>
              <w:start w:w="120" w:type="dxa"/>
              <w:end w:w="120" w:type="dxa"/>
            </w:tcMar>
          </w:tcPr>
          <w:p>
            <w:r/>
            <w:r>
              <w:rPr>
                <w:rFonts w:ascii="Calibri" w:hAnsi="Calibri"/>
                <w:b/>
                <w:i w:val="0"/>
                <w:color w:val="FFFFFF"/>
                <w:sz w:val="19"/>
              </w:rPr>
              <w:t>Requirement</w:t>
            </w:r>
          </w:p>
        </w:tc>
        <w:tc>
          <w:tcPr>
            <w:tcW w:type="dxa" w:w="1560"/>
            <w:shd w:fill="173C36"/>
            <w:tcMar>
              <w:top w:w="80" w:type="dxa"/>
              <w:bottom w:w="80" w:type="dxa"/>
              <w:start w:w="120" w:type="dxa"/>
              <w:end w:w="120" w:type="dxa"/>
            </w:tcMar>
          </w:tcPr>
          <w:p>
            <w:r/>
            <w:r>
              <w:rPr>
                <w:rFonts w:ascii="Calibri" w:hAnsi="Calibri"/>
                <w:b/>
                <w:i w:val="0"/>
                <w:color w:val="FFFFFF"/>
                <w:sz w:val="19"/>
              </w:rPr>
              <w:t>Status</w:t>
            </w:r>
          </w:p>
        </w:tc>
        <w:tc>
          <w:tcPr>
            <w:tcW w:type="dxa" w:w="5600"/>
            <w:shd w:fill="173C36"/>
            <w:tcMar>
              <w:top w:w="80" w:type="dxa"/>
              <w:bottom w:w="80" w:type="dxa"/>
              <w:start w:w="120" w:type="dxa"/>
              <w:end w:w="120" w:type="dxa"/>
            </w:tcMar>
          </w:tcPr>
          <w:p>
            <w:r/>
            <w:r>
              <w:rPr>
                <w:rFonts w:ascii="Calibri" w:hAnsi="Calibri"/>
                <w:b/>
                <w:i w:val="0"/>
                <w:color w:val="FFFFFF"/>
                <w:sz w:val="19"/>
              </w:rPr>
              <w:t>Evidence / next action</w:t>
            </w:r>
          </w:p>
        </w:tc>
      </w:tr>
      <w:tr>
        <w:tc>
          <w:tcPr>
            <w:tcW w:type="dxa" w:w="2200"/>
            <w:tcMar>
              <w:top w:w="80" w:type="dxa"/>
              <w:bottom w:w="80" w:type="dxa"/>
              <w:start w:w="120" w:type="dxa"/>
              <w:end w:w="120" w:type="dxa"/>
            </w:tcMar>
          </w:tcPr>
          <w:p>
            <w:r/>
            <w:r>
              <w:rPr>
                <w:rFonts w:ascii="Calibri" w:hAnsi="Calibri"/>
                <w:b/>
                <w:i w:val="0"/>
                <w:color w:val="101918"/>
                <w:sz w:val="18"/>
              </w:rPr>
              <w:t>RAG and citations</w:t>
            </w:r>
          </w:p>
        </w:tc>
        <w:tc>
          <w:tcPr>
            <w:tcW w:type="dxa" w:w="1560"/>
            <w:tcMar>
              <w:top w:w="80" w:type="dxa"/>
              <w:bottom w:w="80" w:type="dxa"/>
              <w:start w:w="120" w:type="dxa"/>
              <w:end w:w="120" w:type="dxa"/>
            </w:tcMar>
          </w:tcPr>
          <w:p>
            <w:r/>
            <w:r>
              <w:rPr>
                <w:rFonts w:ascii="Calibri" w:hAnsi="Calibri"/>
                <w:b/>
                <w:i w:val="0"/>
                <w:color w:val="2F6D61"/>
                <w:sz w:val="18"/>
              </w:rPr>
              <w:t>Met</w:t>
            </w:r>
          </w:p>
        </w:tc>
        <w:tc>
          <w:tcPr>
            <w:tcW w:type="dxa" w:w="5600"/>
            <w:tcMar>
              <w:top w:w="80" w:type="dxa"/>
              <w:bottom w:w="80" w:type="dxa"/>
              <w:start w:w="120" w:type="dxa"/>
              <w:end w:w="120" w:type="dxa"/>
            </w:tcMar>
          </w:tcPr>
          <w:p>
            <w:r/>
            <w:r>
              <w:rPr>
                <w:rFonts w:ascii="Calibri" w:hAnsi="Calibri"/>
                <w:b w:val="0"/>
                <w:i w:val="0"/>
                <w:color w:val="101918"/>
                <w:sz w:val="18"/>
              </w:rPr>
              <w:t>Real corpus, pgvector retrieval and source-bearing answers.</w:t>
            </w:r>
          </w:p>
        </w:tc>
      </w:tr>
      <w:tr>
        <w:tc>
          <w:tcPr>
            <w:tcW w:type="dxa" w:w="2200"/>
            <w:tcMar>
              <w:top w:w="80" w:type="dxa"/>
              <w:bottom w:w="80" w:type="dxa"/>
              <w:start w:w="120" w:type="dxa"/>
              <w:end w:w="120" w:type="dxa"/>
            </w:tcMar>
          </w:tcPr>
          <w:p>
            <w:r/>
            <w:r>
              <w:rPr>
                <w:rFonts w:ascii="Calibri" w:hAnsi="Calibri"/>
                <w:b/>
                <w:i w:val="0"/>
                <w:color w:val="101918"/>
                <w:sz w:val="18"/>
              </w:rPr>
              <w:t>Agents and memory</w:t>
            </w:r>
          </w:p>
        </w:tc>
        <w:tc>
          <w:tcPr>
            <w:tcW w:type="dxa" w:w="1560"/>
            <w:tcMar>
              <w:top w:w="80" w:type="dxa"/>
              <w:bottom w:w="80" w:type="dxa"/>
              <w:start w:w="120" w:type="dxa"/>
              <w:end w:w="120" w:type="dxa"/>
            </w:tcMar>
          </w:tcPr>
          <w:p>
            <w:r/>
            <w:r>
              <w:rPr>
                <w:rFonts w:ascii="Calibri" w:hAnsi="Calibri"/>
                <w:b/>
                <w:i w:val="0"/>
                <w:color w:val="2F6D61"/>
                <w:sz w:val="18"/>
              </w:rPr>
              <w:t>Met</w:t>
            </w:r>
          </w:p>
        </w:tc>
        <w:tc>
          <w:tcPr>
            <w:tcW w:type="dxa" w:w="5600"/>
            <w:tcMar>
              <w:top w:w="80" w:type="dxa"/>
              <w:bottom w:w="80" w:type="dxa"/>
              <w:start w:w="120" w:type="dxa"/>
              <w:end w:w="120" w:type="dxa"/>
            </w:tcMar>
          </w:tcPr>
          <w:p>
            <w:r/>
            <w:r>
              <w:rPr>
                <w:rFonts w:ascii="Calibri" w:hAnsi="Calibri"/>
                <w:b w:val="0"/>
                <w:i w:val="0"/>
                <w:color w:val="101918"/>
                <w:sz w:val="18"/>
              </w:rPr>
              <w:t>Model-directed routing between tools with shared conversation history.</w:t>
            </w:r>
          </w:p>
        </w:tc>
      </w:tr>
      <w:tr>
        <w:tc>
          <w:tcPr>
            <w:tcW w:type="dxa" w:w="2200"/>
            <w:tcMar>
              <w:top w:w="80" w:type="dxa"/>
              <w:bottom w:w="80" w:type="dxa"/>
              <w:start w:w="120" w:type="dxa"/>
              <w:end w:w="120" w:type="dxa"/>
            </w:tcMar>
          </w:tcPr>
          <w:p>
            <w:r/>
            <w:r>
              <w:rPr>
                <w:rFonts w:ascii="Calibri" w:hAnsi="Calibri"/>
                <w:b/>
                <w:i w:val="0"/>
                <w:color w:val="101918"/>
                <w:sz w:val="18"/>
              </w:rPr>
              <w:t>Tracing</w:t>
            </w:r>
          </w:p>
        </w:tc>
        <w:tc>
          <w:tcPr>
            <w:tcW w:type="dxa" w:w="1560"/>
            <w:tcMar>
              <w:top w:w="80" w:type="dxa"/>
              <w:bottom w:w="80" w:type="dxa"/>
              <w:start w:w="120" w:type="dxa"/>
              <w:end w:w="120" w:type="dxa"/>
            </w:tcMar>
          </w:tcPr>
          <w:p>
            <w:r/>
            <w:r>
              <w:rPr>
                <w:rFonts w:ascii="Calibri" w:hAnsi="Calibri"/>
                <w:b/>
                <w:i w:val="0"/>
                <w:color w:val="2F6D61"/>
                <w:sz w:val="18"/>
              </w:rPr>
              <w:t>Met</w:t>
            </w:r>
          </w:p>
        </w:tc>
        <w:tc>
          <w:tcPr>
            <w:tcW w:type="dxa" w:w="5600"/>
            <w:tcMar>
              <w:top w:w="80" w:type="dxa"/>
              <w:bottom w:w="80" w:type="dxa"/>
              <w:start w:w="120" w:type="dxa"/>
              <w:end w:w="120" w:type="dxa"/>
            </w:tcMar>
          </w:tcPr>
          <w:p>
            <w:r/>
            <w:r>
              <w:rPr>
                <w:rFonts w:ascii="Calibri" w:hAnsi="Calibri"/>
                <w:b w:val="0"/>
                <w:i w:val="0"/>
                <w:color w:val="101918"/>
                <w:sz w:val="18"/>
              </w:rPr>
              <w:t>A live routed-agent trace and shared LangSmith link are recorded.</w:t>
            </w:r>
          </w:p>
        </w:tc>
      </w:tr>
      <w:tr>
        <w:tc>
          <w:tcPr>
            <w:tcW w:type="dxa" w:w="2200"/>
            <w:tcMar>
              <w:top w:w="80" w:type="dxa"/>
              <w:bottom w:w="80" w:type="dxa"/>
              <w:start w:w="120" w:type="dxa"/>
              <w:end w:w="120" w:type="dxa"/>
            </w:tcMar>
          </w:tcPr>
          <w:p>
            <w:r/>
            <w:r>
              <w:rPr>
                <w:rFonts w:ascii="Calibri" w:hAnsi="Calibri"/>
                <w:b/>
                <w:i w:val="0"/>
                <w:color w:val="101918"/>
                <w:sz w:val="18"/>
              </w:rPr>
              <w:t>Multimodal</w:t>
            </w:r>
          </w:p>
        </w:tc>
        <w:tc>
          <w:tcPr>
            <w:tcW w:type="dxa" w:w="1560"/>
            <w:tcMar>
              <w:top w:w="80" w:type="dxa"/>
              <w:bottom w:w="80" w:type="dxa"/>
              <w:start w:w="120" w:type="dxa"/>
              <w:end w:w="120" w:type="dxa"/>
            </w:tcMar>
          </w:tcPr>
          <w:p>
            <w:r/>
            <w:r>
              <w:rPr>
                <w:rFonts w:ascii="Calibri" w:hAnsi="Calibri"/>
                <w:b/>
                <w:i w:val="0"/>
                <w:color w:val="2F6D61"/>
                <w:sz w:val="18"/>
              </w:rPr>
              <w:t>Met</w:t>
            </w:r>
          </w:p>
        </w:tc>
        <w:tc>
          <w:tcPr>
            <w:tcW w:type="dxa" w:w="5600"/>
            <w:tcMar>
              <w:top w:w="80" w:type="dxa"/>
              <w:bottom w:w="80" w:type="dxa"/>
              <w:start w:w="120" w:type="dxa"/>
              <w:end w:w="120" w:type="dxa"/>
            </w:tcMar>
          </w:tcPr>
          <w:p>
            <w:r/>
            <w:r>
              <w:rPr>
                <w:rFonts w:ascii="Calibri" w:hAnsi="Calibri"/>
                <w:b w:val="0"/>
                <w:i w:val="0"/>
                <w:color w:val="101918"/>
                <w:sz w:val="18"/>
              </w:rPr>
              <w:t>Vision evidence participates in land understanding and recommendations.</w:t>
            </w:r>
          </w:p>
        </w:tc>
      </w:tr>
      <w:tr>
        <w:tc>
          <w:tcPr>
            <w:tcW w:type="dxa" w:w="2200"/>
            <w:tcMar>
              <w:top w:w="80" w:type="dxa"/>
              <w:bottom w:w="80" w:type="dxa"/>
              <w:start w:w="120" w:type="dxa"/>
              <w:end w:w="120" w:type="dxa"/>
            </w:tcMar>
          </w:tcPr>
          <w:p>
            <w:r/>
            <w:r>
              <w:rPr>
                <w:rFonts w:ascii="Calibri" w:hAnsi="Calibri"/>
                <w:b/>
                <w:i w:val="0"/>
                <w:color w:val="101918"/>
                <w:sz w:val="18"/>
              </w:rPr>
              <w:t>Evaluation</w:t>
            </w:r>
          </w:p>
        </w:tc>
        <w:tc>
          <w:tcPr>
            <w:tcW w:type="dxa" w:w="1560"/>
            <w:tcMar>
              <w:top w:w="80" w:type="dxa"/>
              <w:bottom w:w="80" w:type="dxa"/>
              <w:start w:w="120" w:type="dxa"/>
              <w:end w:w="120" w:type="dxa"/>
            </w:tcMar>
          </w:tcPr>
          <w:p>
            <w:r/>
            <w:r>
              <w:rPr>
                <w:rFonts w:ascii="Calibri" w:hAnsi="Calibri"/>
                <w:b/>
                <w:i w:val="0"/>
                <w:color w:val="2F6D61"/>
                <w:sz w:val="18"/>
              </w:rPr>
              <w:t>Met</w:t>
            </w:r>
          </w:p>
        </w:tc>
        <w:tc>
          <w:tcPr>
            <w:tcW w:type="dxa" w:w="5600"/>
            <w:tcMar>
              <w:top w:w="80" w:type="dxa"/>
              <w:bottom w:w="80" w:type="dxa"/>
              <w:start w:w="120" w:type="dxa"/>
              <w:end w:w="120" w:type="dxa"/>
            </w:tcMar>
          </w:tcPr>
          <w:p>
            <w:r/>
            <w:r>
              <w:rPr>
                <w:rFonts w:ascii="Calibri" w:hAnsi="Calibri"/>
                <w:b w:val="0"/>
                <w:i w:val="0"/>
                <w:color w:val="101918"/>
                <w:sz w:val="18"/>
              </w:rPr>
              <w:t>30 retrieval tasks, baseline comparison and 30 answer-quality grades.</w:t>
            </w:r>
          </w:p>
        </w:tc>
      </w:tr>
      <w:tr>
        <w:tc>
          <w:tcPr>
            <w:tcW w:type="dxa" w:w="2200"/>
            <w:tcMar>
              <w:top w:w="80" w:type="dxa"/>
              <w:bottom w:w="80" w:type="dxa"/>
              <w:start w:w="120" w:type="dxa"/>
              <w:end w:w="120" w:type="dxa"/>
            </w:tcMar>
          </w:tcPr>
          <w:p>
            <w:r/>
            <w:r>
              <w:rPr>
                <w:rFonts w:ascii="Calibri" w:hAnsi="Calibri"/>
                <w:b/>
                <w:i w:val="0"/>
                <w:color w:val="101918"/>
                <w:sz w:val="18"/>
              </w:rPr>
              <w:t>Deployment</w:t>
            </w:r>
          </w:p>
        </w:tc>
        <w:tc>
          <w:tcPr>
            <w:tcW w:type="dxa" w:w="1560"/>
            <w:tcMar>
              <w:top w:w="80" w:type="dxa"/>
              <w:bottom w:w="80" w:type="dxa"/>
              <w:start w:w="120" w:type="dxa"/>
              <w:end w:w="120" w:type="dxa"/>
            </w:tcMar>
          </w:tcPr>
          <w:p>
            <w:r/>
            <w:r>
              <w:rPr>
                <w:rFonts w:ascii="Calibri" w:hAnsi="Calibri"/>
                <w:b/>
                <w:i w:val="0"/>
                <w:color w:val="2F6D61"/>
                <w:sz w:val="18"/>
              </w:rPr>
              <w:t>Met</w:t>
            </w:r>
          </w:p>
        </w:tc>
        <w:tc>
          <w:tcPr>
            <w:tcW w:type="dxa" w:w="5600"/>
            <w:tcMar>
              <w:top w:w="80" w:type="dxa"/>
              <w:bottom w:w="80" w:type="dxa"/>
              <w:start w:w="120" w:type="dxa"/>
              <w:end w:w="120" w:type="dxa"/>
            </w:tcMar>
          </w:tcPr>
          <w:p>
            <w:r/>
            <w:r>
              <w:rPr>
                <w:rFonts w:ascii="Calibri" w:hAnsi="Calibri"/>
                <w:b w:val="0"/>
                <w:i w:val="0"/>
                <w:color w:val="101918"/>
                <w:sz w:val="18"/>
              </w:rPr>
              <w:t>FastAPI plus Next.js runs locally; demonstrate it live.</w:t>
            </w:r>
          </w:p>
        </w:tc>
      </w:tr>
    </w:tbl>
    <w:p>
      <w:pPr>
        <w:pStyle w:val="Heading1"/>
        <w:keepNext/>
      </w:pPr>
      <w:r>
        <w:t>Limitations and next actions</w:t>
      </w:r>
    </w:p>
    <w:p>
      <w:pPr>
        <w:spacing w:after="80" w:line="264" w:lineRule="auto"/>
      </w:pPr>
      <w:r>
        <w:rPr>
          <w:rFonts w:ascii="Calibri" w:hAnsi="Calibri"/>
          <w:b/>
          <w:i w:val="0"/>
          <w:color w:val="2F6D61"/>
          <w:sz w:val="21"/>
        </w:rPr>
        <w:t xml:space="preserve">Limitations: </w:t>
      </w:r>
      <w:r>
        <w:rPr>
          <w:rFonts w:ascii="Calibri" w:hAnsi="Calibri"/>
          <w:b w:val="0"/>
          <w:i w:val="0"/>
          <w:color w:val="101918"/>
          <w:sz w:val="21"/>
        </w:rPr>
        <w:t>Corpus completeness and metadata constrain retrieval; scans can be unclear; geocodes may be broad; OpenStreetMap coverage varies; distances are straight-line estimates.</w:t>
      </w:r>
    </w:p>
    <w:p>
      <w:pPr>
        <w:spacing w:after="80" w:line="264" w:lineRule="auto"/>
      </w:pPr>
      <w:r>
        <w:rPr>
          <w:rFonts w:ascii="Calibri" w:hAnsi="Calibri"/>
          <w:b/>
          <w:i w:val="0"/>
          <w:color w:val="2F6D61"/>
          <w:sz w:val="21"/>
        </w:rPr>
        <w:t xml:space="preserve">Responsible use: </w:t>
      </w:r>
      <w:r>
        <w:rPr>
          <w:rFonts w:ascii="Calibri" w:hAnsi="Calibri"/>
          <w:b w:val="0"/>
          <w:i w:val="0"/>
          <w:color w:val="101918"/>
          <w:sz w:val="21"/>
        </w:rPr>
        <w:t>The product supports research and screening. Legal, tax, valuation, survey and investment decisions require qualified professional verification.</w:t>
      </w:r>
    </w:p>
    <w:p>
      <w:pPr>
        <w:spacing w:after="80" w:line="264" w:lineRule="auto"/>
      </w:pPr>
      <w:r>
        <w:rPr>
          <w:rFonts w:ascii="Calibri" w:hAnsi="Calibri"/>
          <w:b/>
          <w:i w:val="0"/>
          <w:color w:val="2F6D61"/>
          <w:sz w:val="21"/>
        </w:rPr>
        <w:t xml:space="preserve">Before submission: </w:t>
      </w:r>
      <w:r>
        <w:rPr>
          <w:rFonts w:ascii="Calibri" w:hAnsi="Calibri"/>
          <w:b w:val="0"/>
          <w:i w:val="0"/>
          <w:color w:val="101918"/>
          <w:sz w:val="21"/>
        </w:rPr>
        <w:t>Manually spot-check the LLM judge, execute consented land fixtures, rehearse the local demo, and commit and push the completed implementation, documentation, evaluation and trace evidence.</w:t>
      </w:r>
    </w:p>
    <w:p>
      <w:pPr>
        <w:spacing w:before="140" w:after="0"/>
      </w:pPr>
      <w:r>
        <w:rPr>
          <w:rFonts w:ascii="Calibri" w:hAnsi="Calibri"/>
          <w:b/>
          <w:i w:val="0"/>
          <w:color w:val="173C36"/>
          <w:sz w:val="23"/>
        </w:rPr>
        <w:t>Evidence first. Uncertainty visible. Decisions remain human.</w:t>
      </w:r>
    </w:p>
    <w:sectPr w:rsidR="00FC693F" w:rsidRPr="0006063C"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06B"/>
        <w:sz w:val="17"/>
      </w:rPr>
      <w:t>Sri Lanka Business Intelligence Copilot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4706B"/>
        <w:sz w:val="17"/>
      </w:rPr>
      <w:t>AI Engineering Bootcamp | Final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019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73C3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F6D6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2F6D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