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9"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10" w:tooltip="Platts" w:history="1">
        <w:r w:rsidRPr="00CD51A1">
          <w:rPr>
            <w:rFonts w:eastAsia="Times New Roman" w:cs="Times New Roman"/>
            <w:lang w:val="en"/>
          </w:rPr>
          <w:t>Platts</w:t>
        </w:r>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Dhirubhai Ambani and his brother Champaklal Damani in 1960s as Reliance Commercial Corporation. In 1965, the partnership ended and Dhirubhai continued the </w:t>
      </w:r>
      <w:hyperlink r:id="rId11"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Pvt Ltd was incorporated in Maharashtra. It established a </w:t>
      </w:r>
      <w:hyperlink r:id="rId12"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3" w:tooltip="Naroda" w:history="1">
        <w:r w:rsidRPr="00CD51A1">
          <w:rPr>
            <w:rStyle w:val="Hyperlink"/>
            <w:rFonts w:cs="Times New Roman"/>
            <w:color w:val="auto"/>
            <w:u w:val="none"/>
            <w:lang w:val="en"/>
          </w:rPr>
          <w:t>Naroda</w:t>
        </w:r>
      </w:hyperlink>
      <w:r w:rsidRPr="00CD51A1">
        <w:rPr>
          <w:rFonts w:cs="Times New Roman"/>
          <w:lang w:val="en"/>
        </w:rPr>
        <w:t xml:space="preserve"> in </w:t>
      </w:r>
      <w:hyperlink r:id="rId14"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"Vimal"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5"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6"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The Hazira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7"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8"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BC02B7" w:rsidP="00CD51A1">
      <w:pPr>
        <w:pStyle w:val="ListParagraph"/>
        <w:numPr>
          <w:ilvl w:val="0"/>
          <w:numId w:val="6"/>
        </w:numPr>
        <w:spacing w:before="100" w:beforeAutospacing="1" w:after="100" w:afterAutospacing="1" w:line="240" w:lineRule="auto"/>
        <w:jc w:val="both"/>
        <w:rPr>
          <w:rFonts w:cs="Times New Roman"/>
          <w:bCs/>
          <w:lang w:val="en"/>
        </w:rPr>
      </w:pPr>
      <w:hyperlink r:id="rId19"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BC02B7" w:rsidP="00CD51A1">
      <w:pPr>
        <w:pStyle w:val="ListParagraph"/>
        <w:numPr>
          <w:ilvl w:val="0"/>
          <w:numId w:val="6"/>
        </w:numPr>
        <w:spacing w:before="100" w:beforeAutospacing="1" w:after="100" w:afterAutospacing="1" w:line="240" w:lineRule="auto"/>
        <w:jc w:val="both"/>
        <w:rPr>
          <w:rFonts w:cs="Times New Roman"/>
          <w:lang w:val="en"/>
        </w:rPr>
      </w:pPr>
      <w:hyperlink r:id="rId20"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BC02B7"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cord" w:history="1">
        <w:r w:rsidR="00A816DE" w:rsidRPr="00CD51A1">
          <w:rPr>
            <w:rStyle w:val="Hyperlink"/>
            <w:rFonts w:cs="Times New Roman"/>
            <w:bCs/>
            <w:color w:val="auto"/>
            <w:u w:val="none"/>
            <w:lang w:val="en"/>
          </w:rPr>
          <w:t>Relicord</w:t>
        </w:r>
      </w:hyperlink>
    </w:p>
    <w:p w:rsidR="00A816DE" w:rsidRPr="00CD51A1" w:rsidRDefault="00BC02B7"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Jio Infocomm Limited (RJIL)" w:history="1">
        <w:r w:rsidR="00A816DE" w:rsidRPr="00CD51A1">
          <w:rPr>
            <w:rStyle w:val="Hyperlink"/>
            <w:rFonts w:cs="Times New Roman"/>
            <w:bCs/>
            <w:color w:val="auto"/>
            <w:u w:val="none"/>
            <w:lang w:val="en"/>
          </w:rPr>
          <w:t>Reliance Jio Infocomm</w:t>
        </w:r>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BC02B7" w:rsidP="00CD51A1">
      <w:pPr>
        <w:pStyle w:val="ListParagraph"/>
        <w:numPr>
          <w:ilvl w:val="0"/>
          <w:numId w:val="6"/>
        </w:numPr>
        <w:spacing w:before="100" w:beforeAutospacing="1" w:after="100" w:afterAutospacing="1" w:line="240" w:lineRule="auto"/>
        <w:jc w:val="both"/>
        <w:rPr>
          <w:rFonts w:cs="Times New Roman"/>
          <w:bCs/>
          <w:lang w:val="en"/>
        </w:rPr>
      </w:pPr>
      <w:hyperlink r:id="rId23"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BC02B7"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4"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VoLTE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eliance Industries Limited – Dahej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r w:rsidRPr="00CD51A1">
        <w:rPr>
          <w:rFonts w:cs="Times New Roman"/>
        </w:rPr>
        <w:t>Dahej Manufacturing Division (DMD), an integrated petrochemical complex located</w:t>
      </w:r>
      <w:r w:rsidR="00281B69" w:rsidRPr="00CD51A1">
        <w:rPr>
          <w:rFonts w:cs="Times New Roman"/>
        </w:rPr>
        <w:t xml:space="preserve"> </w:t>
      </w:r>
      <w:r w:rsidRPr="00CD51A1">
        <w:rPr>
          <w:rFonts w:cs="Times New Roman"/>
        </w:rPr>
        <w:t>near Jageshwar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Dahej</w:t>
      </w:r>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fibre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Dahej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Chlor-Alkali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proofErr w:type="gramStart"/>
      <w:r w:rsidR="00281B69" w:rsidRPr="00CD51A1">
        <w:rPr>
          <w:rFonts w:cs="Times New Roman"/>
        </w:rPr>
        <w:t>,</w:t>
      </w:r>
      <w:r w:rsidRPr="00CD51A1">
        <w:rPr>
          <w:rFonts w:cs="Times New Roman"/>
        </w:rPr>
        <w:t>(</w:t>
      </w:r>
      <w:proofErr w:type="gramEnd"/>
      <w:r w:rsidRPr="00CD51A1">
        <w:rPr>
          <w:rFonts w:cs="Times New Roman"/>
        </w:rPr>
        <w:t>HDPE), Mono Ethylene Glycol (MEG), Caustic soda lye</w:t>
      </w:r>
      <w:r w:rsidR="00281B69" w:rsidRPr="00CD51A1">
        <w:rPr>
          <w:rFonts w:cs="Times New Roman"/>
        </w:rPr>
        <w:t xml:space="preserve"> &amp; Ethylene Vinyl Acetate (EVA),</w:t>
      </w:r>
      <w:r w:rsidRPr="00CD51A1">
        <w:rPr>
          <w:rFonts w:cs="Times New Roman"/>
        </w:rPr>
        <w:t>Polyethylene Terephthalate (PET) &amp; Purified</w:t>
      </w:r>
      <w:r w:rsidR="00281B69" w:rsidRPr="00CD51A1">
        <w:rPr>
          <w:rFonts w:cs="Times New Roman"/>
        </w:rPr>
        <w:t xml:space="preserve"> </w:t>
      </w:r>
      <w:r w:rsidRPr="00CD51A1">
        <w:rPr>
          <w:rFonts w:cs="Times New Roman"/>
        </w:rPr>
        <w:t>Terephthalic Acid (PTA) along with some valuable chemical by products like HCl,</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The main raw material for PTA is paraxylene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Hydrobromic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(entrainer)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formate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Pr="00CD51A1"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paratoluic acid; hence this </w:t>
      </w:r>
      <w:r w:rsidRPr="00CD51A1">
        <w:rPr>
          <w:rFonts w:asciiTheme="minorHAnsi" w:hAnsiTheme="minorHAnsi"/>
          <w:sz w:val="22"/>
          <w:szCs w:val="22"/>
        </w:rPr>
        <w:t>acid is the intermediate present in the largest quantity. Since paratoluic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Apart from some unreacted paraxylene escaping in the vapour stream leaving the reactor, there are other reactions forming by-products such as benzoic and trimellitic acids and some burning to CO/CO2. Impurities in the paraxylene feed, such as ortho and metaxylenes, toluene and ethylbenzene are respectively oxidised to ortho and isophthalic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w:t>
      </w:r>
      <w:proofErr w:type="gramStart"/>
      <w:r w:rsidRPr="00CD51A1">
        <w:rPr>
          <w:rFonts w:cs="Times New Roman"/>
        </w:rPr>
        <w:t>reacting</w:t>
      </w:r>
      <w:proofErr w:type="gramEnd"/>
      <w:r w:rsidRPr="00CD51A1">
        <w:rPr>
          <w:rFonts w:cs="Times New Roman"/>
        </w:rPr>
        <w:t xml:space="preserve"> the impurities with Hydrogen in the presence of a catalyst. This is called a Hydrogenation reaction. This reaction effectively converts the impurities into more soluble or non-</w:t>
      </w:r>
      <w:proofErr w:type="spellStart"/>
      <w:r w:rsidRPr="00CD51A1">
        <w:rPr>
          <w:rFonts w:cs="Times New Roman"/>
        </w:rPr>
        <w:t>coloured</w:t>
      </w:r>
      <w:proofErr w:type="spellEnd"/>
      <w:r w:rsidRPr="00CD51A1">
        <w:rPr>
          <w:rFonts w:cs="Times New Roman"/>
        </w:rPr>
        <w:t xml:space="preserve">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w:t>
      </w:r>
      <w:proofErr w:type="spellStart"/>
      <w:r w:rsidRPr="00CD51A1">
        <w:rPr>
          <w:rFonts w:cs="Times New Roman"/>
        </w:rPr>
        <w:t>coloured</w:t>
      </w:r>
      <w:proofErr w:type="spellEnd"/>
      <w:r w:rsidRPr="00CD51A1">
        <w:rPr>
          <w:rFonts w:cs="Times New Roman"/>
        </w:rPr>
        <w:t xml:space="preserve">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5 &amp; 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The PTA PLANT is designed to produce this output in an 8000 hour operating year, based on a flow sheet rate of 140 te/h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HBr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Entrainer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Sodium Formate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1C63CA" w:rsidRDefault="001C63CA" w:rsidP="00BE5186">
      <w:pPr>
        <w:spacing w:line="240" w:lineRule="auto"/>
        <w:rPr>
          <w:rFonts w:cs="Times New Roman"/>
          <w:sz w:val="24"/>
          <w:szCs w:val="24"/>
        </w:rPr>
      </w:pPr>
    </w:p>
    <w:p w:rsidR="008F75C9" w:rsidRPr="00DC5163" w:rsidRDefault="00AE7264" w:rsidP="00BE5186">
      <w:pPr>
        <w:spacing w:line="240" w:lineRule="auto"/>
        <w:rPr>
          <w:rFonts w:cs="Times New Roman"/>
          <w:b/>
          <w:sz w:val="26"/>
          <w:szCs w:val="26"/>
        </w:rPr>
      </w:pPr>
      <w:r w:rsidRPr="00DC5163">
        <w:rPr>
          <w:rFonts w:cs="Times New Roman"/>
          <w:b/>
          <w:sz w:val="26"/>
          <w:szCs w:val="26"/>
        </w:rPr>
        <w:t xml:space="preserve">Utility Consumption for 100% </w:t>
      </w:r>
      <w:r w:rsidR="00DC5163" w:rsidRPr="00DC5163">
        <w:rPr>
          <w:rFonts w:cs="Times New Roman"/>
          <w:b/>
          <w:sz w:val="26"/>
          <w:szCs w:val="26"/>
        </w:rPr>
        <w:t xml:space="preserve">normal </w:t>
      </w:r>
      <w:r w:rsidRPr="00DC5163">
        <w:rPr>
          <w:rFonts w:cs="Times New Roman"/>
          <w:b/>
          <w:sz w:val="26"/>
          <w:szCs w:val="26"/>
        </w:rPr>
        <w:t>capacity:</w:t>
      </w:r>
    </w:p>
    <w:tbl>
      <w:tblPr>
        <w:tblStyle w:val="LightGrid"/>
        <w:tblW w:w="9772" w:type="dxa"/>
        <w:tblLook w:val="04A0" w:firstRow="1" w:lastRow="0" w:firstColumn="1" w:lastColumn="0" w:noHBand="0" w:noVBand="1"/>
      </w:tblPr>
      <w:tblGrid>
        <w:gridCol w:w="4886"/>
        <w:gridCol w:w="4886"/>
      </w:tblGrid>
      <w:tr w:rsidR="00AE7264" w:rsidTr="00DC5163">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shd w:val="clear" w:color="auto" w:fill="000000" w:themeFill="text1"/>
            <w:vAlign w:val="center"/>
          </w:tcPr>
          <w:p w:rsidR="00AE7264" w:rsidRPr="00DC5163" w:rsidRDefault="00AE7264" w:rsidP="00DC5163">
            <w:pPr>
              <w:jc w:val="center"/>
              <w:rPr>
                <w:rFonts w:cs="Times New Roman"/>
                <w:color w:val="FFFFFF" w:themeColor="background1"/>
                <w:sz w:val="24"/>
                <w:szCs w:val="24"/>
              </w:rPr>
            </w:pPr>
            <w:r w:rsidRPr="00DC5163">
              <w:rPr>
                <w:rFonts w:cs="Times New Roman"/>
                <w:color w:val="FFFFFF" w:themeColor="background1"/>
                <w:sz w:val="24"/>
                <w:szCs w:val="24"/>
              </w:rPr>
              <w:t>Item Description</w:t>
            </w:r>
          </w:p>
        </w:tc>
        <w:tc>
          <w:tcPr>
            <w:tcW w:w="4886" w:type="dxa"/>
            <w:shd w:val="clear" w:color="auto" w:fill="000000" w:themeFill="text1"/>
          </w:tcPr>
          <w:p w:rsid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 xml:space="preserve">Normal </w:t>
            </w:r>
          </w:p>
          <w:p w:rsidR="00AE7264" w:rsidRP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(per TON of PTA)</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25.56 KWh</w:t>
            </w:r>
          </w:p>
        </w:tc>
      </w:tr>
      <w:tr w:rsidR="00AE7264" w:rsidTr="00DC5163">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0.69 Ton</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proofErr w:type="spellStart"/>
            <w:r w:rsidRPr="008F75C9">
              <w:rPr>
                <w:rFonts w:cs="Times New Roman"/>
                <w:sz w:val="24"/>
                <w:szCs w:val="24"/>
              </w:rPr>
              <w:t>Demineralised</w:t>
            </w:r>
            <w:proofErr w:type="spellEnd"/>
            <w:r w:rsidRPr="008F75C9">
              <w:rPr>
                <w:rFonts w:cs="Times New Roman"/>
                <w:sz w:val="24"/>
                <w:szCs w:val="24"/>
              </w:rPr>
              <w:t xml:space="preserve"> Water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4886" w:type="dxa"/>
          </w:tcPr>
          <w:p w:rsidR="00AE7264" w:rsidRPr="008F75C9" w:rsidRDefault="008F75C9"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6B1162" w:rsidRPr="00E94EFF" w:rsidRDefault="006B1162" w:rsidP="00DC5163">
      <w:pPr>
        <w:spacing w:line="240" w:lineRule="auto"/>
        <w:rPr>
          <w:rFonts w:ascii="Arial Black" w:hAnsi="Arial Black" w:cs="Times New Roman"/>
          <w:b/>
          <w:sz w:val="30"/>
          <w:szCs w:val="30"/>
          <w:u w:val="single"/>
        </w:rPr>
      </w:pPr>
      <w:r w:rsidRPr="00E94EFF">
        <w:rPr>
          <w:rFonts w:ascii="Arial Black" w:hAnsi="Arial Black" w:cs="Times New Roman"/>
          <w:b/>
          <w:sz w:val="30"/>
          <w:szCs w:val="30"/>
          <w:u w:val="single"/>
        </w:rPr>
        <w:lastRenderedPageBreak/>
        <w:t>OXIDATION SECTION</w:t>
      </w:r>
      <w:r w:rsidR="00F2563C" w:rsidRPr="00E94EFF">
        <w:rPr>
          <w:rFonts w:ascii="Arial Black" w:hAnsi="Arial Black" w:cs="Times New Roman"/>
          <w:b/>
          <w:sz w:val="30"/>
          <w:szCs w:val="30"/>
          <w:u w:val="single"/>
        </w:rPr>
        <w:t>:</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Offgas Treatment, Reaction, CTA Crystallisation,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Offgas Treatment Section atmospheric air is compressed and fed to the reactor. Cooled offgas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Crystallisation Section the reactor exit slurry is depressurised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proofErr w:type="gramStart"/>
      <w:r w:rsidR="00267E3D" w:rsidRPr="00964C3E">
        <w:rPr>
          <w:rFonts w:asciiTheme="minorHAnsi" w:hAnsiTheme="minorHAnsi"/>
          <w:color w:val="auto"/>
          <w:sz w:val="22"/>
          <w:szCs w:val="22"/>
        </w:rPr>
        <w:t>quench</w:t>
      </w:r>
      <w:proofErr w:type="gramEnd"/>
      <w:r w:rsidR="00267E3D" w:rsidRPr="00964C3E">
        <w:rPr>
          <w:rFonts w:asciiTheme="minorHAnsi" w:hAnsiTheme="minorHAnsi"/>
          <w:color w:val="auto"/>
          <w:sz w:val="22"/>
          <w:szCs w:val="22"/>
        </w:rPr>
        <w:t xml:space="preserve">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0F4F2B" w:rsidRDefault="00AD69A8" w:rsidP="00964C3E">
      <w:pPr>
        <w:spacing w:line="240" w:lineRule="auto"/>
        <w:jc w:val="both"/>
      </w:pPr>
      <w:r w:rsidRPr="00964C3E">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equi-spaced baffles which extend from the bottom dished end to the top tangent line. The Reactor has a design pressure of 20.9 barg and a design temperature of 281°C. All vessel internals are </w:t>
      </w:r>
      <w:r w:rsidRPr="00964C3E">
        <w:rPr>
          <w:b/>
        </w:rPr>
        <w:t>titanium</w:t>
      </w:r>
      <w:r w:rsidRPr="00964C3E">
        <w:t>.</w:t>
      </w:r>
    </w:p>
    <w:p w:rsidR="003C3612" w:rsidRDefault="003C3612" w:rsidP="00964C3E">
      <w:pPr>
        <w:spacing w:line="240" w:lineRule="auto"/>
        <w:jc w:val="both"/>
      </w:pPr>
    </w:p>
    <w:p w:rsidR="003C3612" w:rsidRPr="00964C3E" w:rsidRDefault="003C3612" w:rsidP="00964C3E">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lastRenderedPageBreak/>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(Barg</w:t>
            </w:r>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(Barg</w:t>
            </w:r>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r w:rsidRPr="00AF5C7C">
              <w:rPr>
                <w:sz w:val="20"/>
                <w:vertAlign w:val="superscript"/>
              </w:rPr>
              <w:t>o</w:t>
            </w:r>
            <w:r w:rsidRPr="00AF5C7C">
              <w:rPr>
                <w:sz w:val="20"/>
              </w:rPr>
              <w:t>C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centreline of the curved radial blade impeller. </w:t>
      </w:r>
    </w:p>
    <w:p w:rsidR="002934E0" w:rsidRPr="002934E0" w:rsidRDefault="002934E0" w:rsidP="002934E0">
      <w:pPr>
        <w:pStyle w:val="Default"/>
        <w:jc w:val="both"/>
        <w:rPr>
          <w:rFonts w:asciiTheme="minorHAnsi" w:hAnsiTheme="minorHAnsi"/>
          <w:sz w:val="22"/>
          <w:szCs w:val="22"/>
        </w:rPr>
      </w:pPr>
    </w:p>
    <w:p w:rsidR="00041F1B" w:rsidRPr="002934E0" w:rsidRDefault="005C7E52" w:rsidP="002934E0">
      <w:pPr>
        <w:spacing w:line="240" w:lineRule="auto"/>
        <w:jc w:val="both"/>
      </w:pPr>
      <w:r w:rsidRPr="002934E0">
        <w:rPr>
          <w:rFonts w:cs="Times New Roman"/>
          <w:color w:val="000000"/>
        </w:rPr>
        <w:t xml:space="preserve">Each air line is equipped with a velocity averaging </w:t>
      </w:r>
      <w:proofErr w:type="spellStart"/>
      <w:r w:rsidR="00281B69" w:rsidRPr="002934E0">
        <w:rPr>
          <w:rFonts w:cs="Times New Roman"/>
          <w:color w:val="000000"/>
        </w:rPr>
        <w:t>Pitot</w:t>
      </w:r>
      <w:proofErr w:type="spellEnd"/>
      <w:r w:rsidRPr="002934E0">
        <w:rPr>
          <w:rFonts w:cs="Times New Roman"/>
          <w:color w:val="000000"/>
        </w:rPr>
        <w:t xml:space="preserve"> tube (“</w:t>
      </w:r>
      <w:proofErr w:type="spellStart"/>
      <w:r w:rsidRPr="002934E0">
        <w:rPr>
          <w:rFonts w:cs="Times New Roman"/>
          <w:color w:val="000000"/>
        </w:rPr>
        <w:t>annubar</w:t>
      </w:r>
      <w:proofErr w:type="spellEnd"/>
      <w:r w:rsidRPr="002934E0">
        <w:rPr>
          <w:rFonts w:cs="Times New Roman"/>
          <w:color w:val="000000"/>
        </w:rPr>
        <w:t xml:space="preserve">”) </w:t>
      </w:r>
      <w:proofErr w:type="spellStart"/>
      <w:r w:rsidRPr="002934E0">
        <w:rPr>
          <w:rFonts w:cs="Times New Roman"/>
          <w:color w:val="000000"/>
        </w:rPr>
        <w:t>flowmeter</w:t>
      </w:r>
      <w:proofErr w:type="spellEnd"/>
      <w:r w:rsidRPr="002934E0">
        <w:rPr>
          <w:rFonts w:cs="Times New Roman"/>
          <w:color w:val="000000"/>
        </w:rPr>
        <w:t xml:space="preserve">, a flow control valve, and a tight shut-off block valve. The line changes specification from stainless steel to titanium immediately downstream of the block valve. One of </w:t>
      </w:r>
      <w:r w:rsidRPr="002934E0">
        <w:t>the spargers is provided with a bypass around its associated main flow control valve for start-up purposes. The bypass is equipped with its own flowmeter and flow control valve.</w:t>
      </w:r>
    </w:p>
    <w:p w:rsidR="005C7E52" w:rsidRPr="002934E0" w:rsidRDefault="005C7E52" w:rsidP="002934E0">
      <w:pPr>
        <w:autoSpaceDE w:val="0"/>
        <w:autoSpaceDN w:val="0"/>
        <w:adjustRightInd w:val="0"/>
        <w:spacing w:after="0" w:line="240" w:lineRule="auto"/>
        <w:jc w:val="both"/>
        <w:rPr>
          <w:rFonts w:cs="Times New Roman"/>
          <w:color w:val="000000"/>
          <w:sz w:val="24"/>
          <w:szCs w:val="24"/>
        </w:rPr>
      </w:pPr>
      <w:r w:rsidRPr="002934E0">
        <w:rPr>
          <w:rFonts w:cs="Times New Roman"/>
          <w:color w:val="000000"/>
          <w:sz w:val="24"/>
          <w:szCs w:val="24"/>
        </w:rPr>
        <w:t xml:space="preserve">The Reactor is fitted with internal sprays in the head space. This serves three purposes:- </w:t>
      </w:r>
    </w:p>
    <w:p w:rsidR="005C7E52" w:rsidRPr="002934E0" w:rsidRDefault="005C7E52"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t xml:space="preserve">Warming of vessel walls during start-up. Heated solvent or Mother Liquor is fed through the sprays from the Start-up Heater, E5-313. </w:t>
      </w:r>
    </w:p>
    <w:p w:rsidR="005C7E52" w:rsidRPr="002934E0" w:rsidRDefault="005C7E52" w:rsidP="002934E0">
      <w:pPr>
        <w:pStyle w:val="ListParagraph"/>
        <w:numPr>
          <w:ilvl w:val="0"/>
          <w:numId w:val="16"/>
        </w:numPr>
        <w:autoSpaceDE w:val="0"/>
        <w:autoSpaceDN w:val="0"/>
        <w:adjustRightInd w:val="0"/>
        <w:spacing w:after="27" w:line="240" w:lineRule="auto"/>
        <w:jc w:val="both"/>
        <w:rPr>
          <w:rFonts w:cs="Times New Roman"/>
          <w:color w:val="000000"/>
        </w:rPr>
      </w:pPr>
      <w:r w:rsidRPr="002934E0">
        <w:rPr>
          <w:rFonts w:cs="Times New Roman"/>
          <w:color w:val="000000"/>
        </w:rPr>
        <w:lastRenderedPageBreak/>
        <w:t xml:space="preserve">Cooling down of the vessel walls during shutdown. Solvent or Mother Liquor can be fed to the sprays via the Start-up Heater and the temperature of the solvent/Mother Liquor is reduced in a controlled manner. </w:t>
      </w:r>
    </w:p>
    <w:p w:rsidR="005C7E52" w:rsidRPr="002934E0" w:rsidRDefault="005C7E52" w:rsidP="002934E0">
      <w:pPr>
        <w:pStyle w:val="ListParagraph"/>
        <w:numPr>
          <w:ilvl w:val="0"/>
          <w:numId w:val="16"/>
        </w:numPr>
        <w:autoSpaceDE w:val="0"/>
        <w:autoSpaceDN w:val="0"/>
        <w:adjustRightInd w:val="0"/>
        <w:spacing w:after="0" w:line="240" w:lineRule="auto"/>
        <w:jc w:val="both"/>
        <w:rPr>
          <w:rFonts w:cs="Times New Roman"/>
          <w:color w:val="000000"/>
        </w:rPr>
      </w:pPr>
      <w:r w:rsidRPr="002934E0">
        <w:rPr>
          <w:rFonts w:cs="Times New Roman"/>
          <w:color w:val="000000"/>
        </w:rPr>
        <w:t xml:space="preserve">Cleaning of vessel walls during washout. Caustic solution (5% </w:t>
      </w:r>
      <w:proofErr w:type="spellStart"/>
      <w:r w:rsidRPr="002934E0">
        <w:rPr>
          <w:rFonts w:cs="Times New Roman"/>
          <w:color w:val="000000"/>
        </w:rPr>
        <w:t>NaOH</w:t>
      </w:r>
      <w:proofErr w:type="spellEnd"/>
      <w:r w:rsidRPr="002934E0">
        <w:rPr>
          <w:rFonts w:cs="Times New Roman"/>
          <w:color w:val="000000"/>
        </w:rPr>
        <w:t xml:space="preserve">, 80°C) can be used to wash down the vessel and </w:t>
      </w:r>
      <w:r w:rsidR="002934E0" w:rsidRPr="002934E0">
        <w:rPr>
          <w:rFonts w:cs="Times New Roman"/>
          <w:color w:val="000000"/>
        </w:rPr>
        <w:t>neutralize</w:t>
      </w:r>
      <w:r w:rsidRPr="002934E0">
        <w:rPr>
          <w:rFonts w:cs="Times New Roman"/>
          <w:color w:val="000000"/>
        </w:rPr>
        <w:t xml:space="preserve"> any remaining acetic acid vapour prior to vessel entry.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Level is measured using radioactivity. A set of radiation sources, RE-03210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w:t>
      </w:r>
      <w:r w:rsidRPr="002934E0">
        <w:rPr>
          <w:rFonts w:cs="Times New Roman"/>
          <w:color w:val="000000"/>
        </w:rPr>
        <w:lastRenderedPageBreak/>
        <w:t xml:space="preserve">unaerated. In these circumstances the level falls to approx. 47% of the normal height which is outside the range of the upper detector.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Pr="002934E0"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The signal from LT-03210A or B is selected by HS-03210 and passes to LICA-03210 which is used to control the Reactor level by adjusting the slurry flow from the Reactor into the First CTA Crystalliser. The level control valve LCV-03210 is mounted on the First CTA Crystalliser vessel in order to </w:t>
      </w:r>
      <w:proofErr w:type="spellStart"/>
      <w:r w:rsidRPr="002934E0">
        <w:rPr>
          <w:rFonts w:asciiTheme="minorHAnsi" w:hAnsiTheme="minorHAnsi"/>
          <w:sz w:val="22"/>
          <w:szCs w:val="22"/>
        </w:rPr>
        <w:t>minimise</w:t>
      </w:r>
      <w:proofErr w:type="spellEnd"/>
      <w:r w:rsidRPr="002934E0">
        <w:rPr>
          <w:rFonts w:asciiTheme="minorHAnsi" w:hAnsiTheme="minorHAnsi"/>
          <w:sz w:val="22"/>
          <w:szCs w:val="22"/>
        </w:rPr>
        <w:t xml:space="preserve"> the distance between the valve and vessel. LICA-03210 has high and low alarms in the DCS set at 9000 mm and 7200 mm respectively above the bottom tan line. Note that these apply only to the top range of operation. </w:t>
      </w:r>
    </w:p>
    <w:p w:rsidR="002860BF" w:rsidRDefault="005C7E52" w:rsidP="002860BF">
      <w:pPr>
        <w:spacing w:after="0" w:line="240" w:lineRule="auto"/>
        <w:jc w:val="both"/>
        <w:rPr>
          <w:rFonts w:cs="Times New Roman"/>
          <w:color w:val="000000"/>
          <w:sz w:val="24"/>
          <w:szCs w:val="24"/>
        </w:rPr>
      </w:pPr>
      <w:r w:rsidRPr="002934E0">
        <w:rPr>
          <w:rFonts w:cs="Times New Roman"/>
          <w:color w:val="000000"/>
        </w:rPr>
        <w:t>LSS-03256 provides the signal for the high level trip, LSA-03256, whilst LS-03257 provides the signal for extra low level alarm, LA-03257. These are set at 9200 mm and 7000 mm respectively above the bottom tan line</w:t>
      </w:r>
      <w:r w:rsidRPr="00281B69">
        <w:rPr>
          <w:rFonts w:cs="Times New Roman"/>
          <w:color w:val="000000"/>
          <w:sz w:val="24"/>
          <w:szCs w:val="24"/>
        </w:rPr>
        <w:t>.</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Pr="000A1F40">
        <w:rPr>
          <w:rFonts w:cs="Times New Roman"/>
          <w:color w:val="000000"/>
        </w:rPr>
        <w:t>CTA Crystalliser D5-401.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CTA Crystalliser Condenser E5-430. Further cooling</w:t>
      </w:r>
      <w:r w:rsidR="008A2D4B" w:rsidRPr="000A1F40">
        <w:rPr>
          <w:rFonts w:cs="Times New Roman"/>
          <w:color w:val="000000"/>
        </w:rPr>
        <w:t xml:space="preserve"> </w:t>
      </w:r>
      <w:r w:rsidRPr="000A1F40">
        <w:rPr>
          <w:rFonts w:cs="Times New Roman"/>
          <w:color w:val="000000"/>
        </w:rPr>
        <w:t>of the vapour takes place in the First CTA Crystalliser Vent Condenser, E5-431, before</w:t>
      </w:r>
      <w:r w:rsidR="008A2D4B" w:rsidRPr="000A1F40">
        <w:rPr>
          <w:rFonts w:cs="Times New Roman"/>
          <w:color w:val="000000"/>
        </w:rPr>
        <w:t xml:space="preserve"> </w:t>
      </w:r>
      <w:r w:rsidRPr="000A1F40">
        <w:rPr>
          <w:rFonts w:cs="Times New Roman"/>
          <w:color w:val="000000"/>
        </w:rPr>
        <w:t>being discharged into the HP Absorber D5-310.</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minimal solids carryover in the vapour stream from the vessel. The maximum design</w:t>
      </w:r>
      <w:r w:rsidR="000A1F40" w:rsidRPr="000A1F40">
        <w:rPr>
          <w:rFonts w:cs="Times New Roman"/>
          <w:color w:val="000000"/>
        </w:rPr>
        <w:t xml:space="preserve"> </w:t>
      </w:r>
      <w:r w:rsidRPr="000A1F40">
        <w:rPr>
          <w:rFonts w:cs="Times New Roman"/>
          <w:color w:val="000000"/>
        </w:rPr>
        <w:t>pressure and temperature of the Crysta</w:t>
      </w:r>
      <w:r w:rsidR="000A1F40" w:rsidRPr="000A1F40">
        <w:rPr>
          <w:rFonts w:cs="Times New Roman"/>
          <w:color w:val="000000"/>
        </w:rPr>
        <w:t xml:space="preserve">lliser are 19.7 barg and 281 </w:t>
      </w:r>
      <w:r w:rsidR="000A1F40" w:rsidRPr="000A1F40">
        <w:rPr>
          <w:rFonts w:cs="Times New Roman"/>
          <w:color w:val="000000"/>
          <w:vertAlign w:val="superscript"/>
        </w:rPr>
        <w:t>o</w:t>
      </w:r>
      <w:r w:rsidRPr="000A1F40">
        <w:rPr>
          <w:rFonts w:cs="Times New Roman"/>
          <w:color w:val="000000"/>
        </w:rPr>
        <w:t>C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Pr="000A1F40">
        <w:rPr>
          <w:rFonts w:cs="Times New Roman"/>
          <w:color w:val="000000"/>
        </w:rPr>
        <w:t>bottom tangent line. Vessel total capacity is 276 m3 with a normal operating volume of</w:t>
      </w:r>
      <w:r w:rsidR="000A1F40" w:rsidRPr="000A1F40">
        <w:rPr>
          <w:rFonts w:cs="Times New Roman"/>
          <w:color w:val="000000"/>
        </w:rPr>
        <w:t xml:space="preserve"> </w:t>
      </w:r>
      <w:r w:rsidRPr="000A1F40">
        <w:rPr>
          <w:rFonts w:cs="Times New Roman"/>
          <w:color w:val="000000"/>
        </w:rPr>
        <w:t>168 m3, or approx. 55% of the level measurement range.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offgas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A15A9A" w:rsidRPr="000A1F40" w:rsidRDefault="00A15A9A" w:rsidP="000A1F40">
      <w:pPr>
        <w:pStyle w:val="ListParagraph"/>
        <w:spacing w:line="240" w:lineRule="auto"/>
        <w:ind w:left="0"/>
        <w:jc w:val="both"/>
        <w:rPr>
          <w:rFonts w:cs="Times New Roman"/>
          <w:color w:val="000000"/>
        </w:rPr>
      </w:pPr>
      <w:r w:rsidRPr="000A1F40">
        <w:lastRenderedPageBreak/>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Cryst</w:t>
      </w:r>
      <w:r w:rsidR="000A1F40">
        <w:t xml:space="preserve">alliser are 4.1 barg and 170 </w:t>
      </w:r>
      <w:r w:rsidR="000A1F40" w:rsidRPr="000A1F40">
        <w:rPr>
          <w:vertAlign w:val="superscript"/>
        </w:rPr>
        <w:t>o</w:t>
      </w:r>
      <w:r w:rsidRPr="000A1F40">
        <w:t>C.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 Slurry leaves the vessel and is fed to the Third CTA Crystalliser Transfer Pumps, G5-407A/B through two pad mounted angle valves located on the vessel base dished end. Both the feed line and discharge/pump suction lines are provided with solvent flush, caustic flush and drain facilities.</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lastRenderedPageBreak/>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barg.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w:t>
      </w:r>
      <w:proofErr w:type="spellStart"/>
      <w:r w:rsidRPr="002860BF">
        <w:rPr>
          <w:rFonts w:cs="Times New Roman"/>
          <w:color w:val="000000"/>
        </w:rPr>
        <w:t>flowsheet</w:t>
      </w:r>
      <w:proofErr w:type="spellEnd"/>
      <w:r w:rsidRPr="002860BF">
        <w:rPr>
          <w:rFonts w:cs="Times New Roman"/>
          <w:color w:val="000000"/>
        </w:rPr>
        <w:t xml:space="preserve"> or less, excess air from the delivery of the Compressor is sent to the Offgas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The power to drive the Compressor is provided by the Steam Turbine, which recovers energy by condensing excess plant steam and imported steam, and by the Offgas Expander which recovers energy from the Oxidation Reactor Offgas when the Reactor is on line.</w:t>
      </w:r>
    </w:p>
    <w:p w:rsidR="00BA7E40" w:rsidRPr="002860BF" w:rsidRDefault="00BA7E40" w:rsidP="002860BF">
      <w:pPr>
        <w:spacing w:line="240" w:lineRule="auto"/>
        <w:jc w:val="both"/>
        <w:rPr>
          <w:rFonts w:cs="Times New Roman"/>
        </w:rPr>
      </w:pPr>
      <w:r w:rsidRPr="002860BF">
        <w:rPr>
          <w:rFonts w:cs="Times New Roman"/>
        </w:rPr>
        <w:t>The motor/generator package is used to start-up the machine and then exports excess power produced by the Steam Turbine and Offgas Expander at high plant rates.</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Compressor C5-113 is a five-stage multi-shaft centrifugal compressor with three intercoolers, E5-116, E5- 117 and E5-118, in between the stages. E5-116 is the 1st stage intercooler between 1st and the 2ndstage. E5-117 is the 2nd stage intercooler between 2nd and the 3rd stage. E5-118 is the 3rd stage intercooler between the 3rd and the 4th stage. E5-118 is provided with a TCV in the bypass for temperature control.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The normal rated flow through C5-113 is 379.23 m3/hr. (corresponding mass flow is 490 TPH). The flow to the compressor is controlled by the Inlet Guide Vane (IGV) opening. The nominal inlet and discharge (5th stage discharge) rated Pressure are 0.99</w:t>
      </w:r>
      <w:r w:rsidR="00732684">
        <w:rPr>
          <w:rFonts w:cs="Calibri"/>
        </w:rPr>
        <w:t xml:space="preserve"> </w:t>
      </w:r>
      <w:proofErr w:type="gramStart"/>
      <w:r w:rsidRPr="002860BF">
        <w:rPr>
          <w:rFonts w:cs="Calibri"/>
        </w:rPr>
        <w:t>bara</w:t>
      </w:r>
      <w:proofErr w:type="gramEnd"/>
      <w:r w:rsidRPr="002860BF">
        <w:rPr>
          <w:rFonts w:cs="Calibri"/>
        </w:rPr>
        <w:t xml:space="preserve"> and 18.3 bara. The Inlet and Outlet (5th stage) temperatur</w:t>
      </w:r>
      <w:r w:rsidR="00732684">
        <w:rPr>
          <w:rFonts w:cs="Calibri"/>
        </w:rPr>
        <w:t xml:space="preserve">es are 45 </w:t>
      </w:r>
      <w:r w:rsidR="00732684" w:rsidRPr="00732684">
        <w:rPr>
          <w:rFonts w:cs="Calibri"/>
          <w:vertAlign w:val="superscript"/>
        </w:rPr>
        <w:t>o</w:t>
      </w:r>
      <w:r w:rsidR="002860BF">
        <w:rPr>
          <w:rFonts w:cs="Calibri"/>
        </w:rPr>
        <w:t xml:space="preserve">C (max) and 153 </w:t>
      </w:r>
      <w:r w:rsidR="002860BF" w:rsidRPr="002860BF">
        <w:rPr>
          <w:rFonts w:cs="Calibri"/>
          <w:vertAlign w:val="superscript"/>
        </w:rPr>
        <w:t>o</w:t>
      </w:r>
      <w:r w:rsidRPr="002860BF">
        <w:rPr>
          <w:rFonts w:cs="Calibri"/>
        </w:rPr>
        <w:t>C.</w:t>
      </w: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The Process Air Compressor is driven by an electric motor (which can also act as a generator), Steam Turbine and an Expander. The motor will act as the Drive for the compressor at the start-up when there is no steam and Offgas generation from the process respectively. Once the plant is in operation, there is steam and Process Offgas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r w:rsidRPr="000A1F40">
              <w:rPr>
                <w:sz w:val="20"/>
                <w:vertAlign w:val="superscript"/>
              </w:rPr>
              <w:t>o</w:t>
            </w:r>
            <w:r w:rsidRPr="000A1F40">
              <w:rPr>
                <w:sz w:val="20"/>
              </w:rPr>
              <w:t>C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lastRenderedPageBreak/>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The Rotary Vacuum Filters M5-410A/B/C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Slurry is pumped from the CTA Filter Feed Drum into a trough having a pool of slurry in which the filtration drum rotates in a partially submerged state. Degree of submergence of the drum in slurry pool can be varied between 11% and 18% of drum surface area and is used as one of the key parameter to adjust the throughput and ROVAC filter performance. Thus adjustment is done by varying the height of slurry pool which is done by varying the height of overflow weir. Speed of the drum can also be varied which is another key parameter to adjust the throughput and ROVAC filter performance. Speed can be varied using a VSD between 2-20 rpm. 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To ensure this, following are done – (a) multiple feed entry points, 3 entry points in this case, each with a pyramid structure (b) perforated distributor plate within each feed pyramid.</w:t>
      </w:r>
    </w:p>
    <w:p w:rsidR="00732684" w:rsidRDefault="00732684"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 xml:space="preserve">Proper washing </w:t>
      </w:r>
      <w:r w:rsidRPr="002860BF">
        <w:rPr>
          <w:rFonts w:ascii="Calibri" w:hAnsi="Calibri" w:cs="Calibri"/>
        </w:rPr>
        <w:lastRenderedPageBreak/>
        <w:t>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732684" w:rsidRDefault="00732684" w:rsidP="002860BF">
      <w:pPr>
        <w:autoSpaceDE w:val="0"/>
        <w:autoSpaceDN w:val="0"/>
        <w:adjustRightInd w:val="0"/>
        <w:spacing w:after="0" w:line="240" w:lineRule="auto"/>
        <w:jc w:val="both"/>
        <w:rPr>
          <w:rFonts w:ascii="Calibri" w:hAnsi="Calibri" w:cs="Calibri"/>
        </w:rPr>
      </w:pPr>
    </w:p>
    <w:p w:rsidR="00732684" w:rsidRDefault="00732684" w:rsidP="002860BF">
      <w:pPr>
        <w:autoSpaceDE w:val="0"/>
        <w:autoSpaceDN w:val="0"/>
        <w:adjustRightInd w:val="0"/>
        <w:spacing w:after="0" w:line="240" w:lineRule="auto"/>
        <w:jc w:val="both"/>
        <w:rPr>
          <w:rFonts w:ascii="Calibri" w:hAnsi="Calibri" w:cs="Calibri"/>
        </w:rPr>
      </w:pPr>
    </w:p>
    <w:p w:rsidR="00732684" w:rsidRPr="002860BF" w:rsidRDefault="00732684" w:rsidP="002860BF">
      <w:pPr>
        <w:autoSpaceDE w:val="0"/>
        <w:autoSpaceDN w:val="0"/>
        <w:adjustRightInd w:val="0"/>
        <w:spacing w:after="0" w:line="240" w:lineRule="auto"/>
        <w:jc w:val="both"/>
        <w:rPr>
          <w:rFonts w:ascii="Calibri" w:hAnsi="Calibri" w:cs="Calibri"/>
        </w:rPr>
      </w:pPr>
    </w:p>
    <w:p w:rsidR="00454A46" w:rsidRDefault="00DF6524" w:rsidP="0044331C">
      <w:pPr>
        <w:spacing w:line="240" w:lineRule="auto"/>
        <w:ind w:left="-810"/>
        <w:jc w:val="center"/>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586537" cy="43910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05448" cy="4403633"/>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44331C" w:rsidRDefault="0044331C" w:rsidP="0044331C">
      <w:pPr>
        <w:spacing w:line="240" w:lineRule="auto"/>
        <w:ind w:left="-810"/>
        <w:jc w:val="center"/>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t>2.5 CTA/PTA Drier:</w:t>
      </w:r>
    </w:p>
    <w:p w:rsidR="00732684" w:rsidRP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M5-423 dries wet CTA cake from the Rotary Vacuum Filters M5-410A/B/C reducing the</w:t>
      </w:r>
      <w:r w:rsidR="004303C5">
        <w:rPr>
          <w:rFonts w:ascii="Calibri" w:hAnsi="Calibri" w:cs="Calibri"/>
        </w:rPr>
        <w:t xml:space="preserve"> </w:t>
      </w:r>
      <w:r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CTA Drier, designed for indirect heat-drying, using let down MP steam, normally at ~8.3 barg and 177°C.</w:t>
      </w:r>
      <w:r w:rsidR="000F4F2B">
        <w:rPr>
          <w:rFonts w:ascii="Calibri" w:hAnsi="Calibri" w:cs="Calibri"/>
        </w:rPr>
        <w:t xml:space="preserve"> </w:t>
      </w: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design pressure of the shell is +0.3barg/-0.3 barg. The tubes have a</w:t>
      </w:r>
      <w:r w:rsidR="004303C5">
        <w:rPr>
          <w:rFonts w:ascii="Calibri" w:hAnsi="Calibri" w:cs="Calibri"/>
        </w:rPr>
        <w:t xml:space="preserve"> design pressure </w:t>
      </w:r>
      <w:proofErr w:type="gramStart"/>
      <w:r w:rsidR="004303C5">
        <w:rPr>
          <w:rFonts w:ascii="Calibri" w:hAnsi="Calibri" w:cs="Calibri"/>
        </w:rPr>
        <w:t>of 15 barg/FV</w:t>
      </w:r>
      <w:proofErr w:type="gramEnd"/>
      <w:r w:rsidR="004303C5">
        <w:rPr>
          <w:rFonts w:ascii="Calibri" w:hAnsi="Calibri" w:cs="Calibri"/>
        </w:rPr>
        <w:t>.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Pr="004303C5" w:rsidRDefault="00732684" w:rsidP="004303C5">
      <w:pPr>
        <w:spacing w:line="240" w:lineRule="auto"/>
        <w:jc w:val="both"/>
        <w:rPr>
          <w:rFonts w:ascii="Calibri" w:hAnsi="Calibri" w:cs="Calibri"/>
        </w:rPr>
      </w:pPr>
      <w:r w:rsidRPr="004303C5">
        <w:rPr>
          <w:rFonts w:ascii="Calibri" w:hAnsi="Calibri" w:cs="Calibri"/>
        </w:rPr>
        <w:t>The CTA Drier is inclined toward the exit to help powder flow (inclination 3/100).</w:t>
      </w:r>
    </w:p>
    <w:p w:rsidR="004303C5"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 xml:space="preserve">The boiling point of Acetic Acid is 118 °C at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 A combination of operating temperature and resid</w:t>
      </w:r>
      <w:r w:rsidR="004303C5">
        <w:rPr>
          <w:rFonts w:ascii="Calibri" w:hAnsi="Calibri" w:cs="Calibri"/>
        </w:rPr>
        <w:t xml:space="preserve">ence time provides the required </w:t>
      </w:r>
      <w:r w:rsidRPr="004303C5">
        <w:rPr>
          <w:rFonts w:ascii="Calibri" w:hAnsi="Calibri" w:cs="Calibri"/>
        </w:rPr>
        <w:t xml:space="preserve">drying. Residence time for a given plant throughput and inlet cake wetness </w:t>
      </w:r>
      <w:r w:rsidR="004303C5">
        <w:rPr>
          <w:rFonts w:ascii="Calibri" w:hAnsi="Calibri" w:cs="Calibri"/>
        </w:rPr>
        <w:t>is fixed as it is determined by t</w:t>
      </w:r>
      <w:r w:rsidRPr="004303C5">
        <w:rPr>
          <w:rFonts w:ascii="Calibri" w:hAnsi="Calibri" w:cs="Calibri"/>
        </w:rPr>
        <w:t>he rotational speed, inclination of</w:t>
      </w:r>
      <w:r w:rsidR="00454A46">
        <w:rPr>
          <w:rFonts w:ascii="Calibri" w:hAnsi="Calibri" w:cs="Calibri"/>
        </w:rPr>
        <w:t xml:space="preserve"> dryer which are both fixed. So </w:t>
      </w:r>
      <w:r w:rsidRPr="004303C5">
        <w:rPr>
          <w:rFonts w:ascii="Calibri" w:hAnsi="Calibri" w:cs="Calibri"/>
        </w:rPr>
        <w:t>op</w:t>
      </w:r>
      <w:r w:rsidR="004303C5">
        <w:rPr>
          <w:rFonts w:ascii="Calibri" w:hAnsi="Calibri" w:cs="Calibri"/>
        </w:rPr>
        <w:t xml:space="preserve">erating temperature is the only </w:t>
      </w:r>
      <w:r w:rsidRPr="004303C5">
        <w:rPr>
          <w:rFonts w:ascii="Calibri" w:hAnsi="Calibri" w:cs="Calibri"/>
        </w:rPr>
        <w:t>variable that can be used to achieve the required drying performance.</w:t>
      </w:r>
    </w:p>
    <w:p w:rsidR="00454A46" w:rsidRDefault="00454A46" w:rsidP="004303C5">
      <w:pPr>
        <w:autoSpaceDE w:val="0"/>
        <w:autoSpaceDN w:val="0"/>
        <w:adjustRightInd w:val="0"/>
        <w:spacing w:after="0" w:line="240" w:lineRule="auto"/>
        <w:jc w:val="both"/>
        <w:rPr>
          <w:rFonts w:ascii="Calibri" w:hAnsi="Calibri" w:cs="Calibri"/>
        </w:rPr>
      </w:pPr>
    </w:p>
    <w:p w:rsidR="00454A46" w:rsidRDefault="00454A46" w:rsidP="004303C5">
      <w:pPr>
        <w:autoSpaceDE w:val="0"/>
        <w:autoSpaceDN w:val="0"/>
        <w:adjustRightInd w:val="0"/>
        <w:spacing w:after="0" w:line="240" w:lineRule="auto"/>
        <w:jc w:val="both"/>
        <w:rPr>
          <w:rFonts w:ascii="Calibri" w:hAnsi="Calibri" w:cs="Calibri"/>
        </w:rPr>
      </w:pPr>
    </w:p>
    <w:p w:rsidR="00454A46" w:rsidRDefault="00454A46"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r w:rsidRPr="000A1F40">
              <w:rPr>
                <w:sz w:val="20"/>
              </w:rPr>
              <w:t>Barg</w:t>
            </w:r>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Pr="004303C5" w:rsidRDefault="00454A46" w:rsidP="004303C5">
      <w:pPr>
        <w:autoSpaceDE w:val="0"/>
        <w:autoSpaceDN w:val="0"/>
        <w:adjustRightInd w:val="0"/>
        <w:spacing w:after="0" w:line="240" w:lineRule="auto"/>
        <w:jc w:val="both"/>
        <w:rPr>
          <w:rFonts w:ascii="Calibri" w:hAnsi="Calibri" w:cs="Calibri"/>
        </w:rPr>
      </w:pPr>
    </w:p>
    <w:p w:rsidR="004303C5" w:rsidRDefault="004303C5" w:rsidP="004303C5">
      <w:pPr>
        <w:spacing w:line="240" w:lineRule="auto"/>
        <w:jc w:val="center"/>
        <w:rPr>
          <w:rFonts w:cs="Times New Roman"/>
          <w:b/>
          <w:sz w:val="26"/>
          <w:szCs w:val="26"/>
        </w:rPr>
      </w:pPr>
      <w:r>
        <w:rPr>
          <w:noProof/>
        </w:rPr>
        <w:drawing>
          <wp:inline distT="0" distB="0" distL="0" distR="0" wp14:anchorId="072CD324" wp14:editId="5DACD13C">
            <wp:extent cx="5585791" cy="3056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87276" cy="3057134"/>
                    </a:xfrm>
                    <a:prstGeom prst="rect">
                      <a:avLst/>
                    </a:prstGeom>
                  </pic:spPr>
                </pic:pic>
              </a:graphicData>
            </a:graphic>
          </wp:inline>
        </w:drawing>
      </w:r>
    </w:p>
    <w:p w:rsidR="004303C5" w:rsidRDefault="004303C5" w:rsidP="00545482">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4331C" w:rsidRDefault="0044331C" w:rsidP="00545482">
      <w:pPr>
        <w:spacing w:line="240" w:lineRule="auto"/>
        <w:jc w:val="center"/>
        <w:rPr>
          <w:rFonts w:ascii="Calibri,BoldItalic" w:hAnsi="Calibri,BoldItalic" w:cs="Calibri,BoldItalic"/>
          <w:b/>
          <w:bCs/>
          <w:i/>
          <w:iCs/>
        </w:rPr>
      </w:pPr>
    </w:p>
    <w:p w:rsidR="0044331C" w:rsidRDefault="0044331C" w:rsidP="00545482">
      <w:pPr>
        <w:spacing w:line="240" w:lineRule="auto"/>
        <w:jc w:val="center"/>
        <w:rPr>
          <w:rFonts w:ascii="Calibri,BoldItalic" w:hAnsi="Calibri,BoldItalic" w:cs="Calibri,BoldItalic"/>
          <w:b/>
          <w:bCs/>
          <w:i/>
          <w:iCs/>
        </w:rPr>
      </w:pPr>
    </w:p>
    <w:p w:rsidR="0044331C" w:rsidRPr="00545482" w:rsidRDefault="0044331C" w:rsidP="00545482">
      <w:pPr>
        <w:spacing w:line="240" w:lineRule="auto"/>
        <w:jc w:val="center"/>
        <w:rPr>
          <w:rFonts w:ascii="Calibri,BoldItalic" w:hAnsi="Calibri,BoldItalic" w:cs="Calibri,BoldItalic"/>
          <w:b/>
          <w:bCs/>
          <w:i/>
          <w:iCs/>
        </w:rPr>
      </w:pP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EB6930" w:rsidP="007A43FA">
      <w:pPr>
        <w:spacing w:line="240" w:lineRule="auto"/>
        <w:jc w:val="both"/>
      </w:pPr>
      <w:r w:rsidRPr="007A43FA">
        <w:t>DH Column D5-601 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structured packing (INTALOX 2T or equivalent)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packing (INTALOX 2T or equivalent) constructed from 2205 Duplex stainless steel.</w:t>
      </w:r>
    </w:p>
    <w:p w:rsidR="00EB6930" w:rsidRPr="007A43FA" w:rsidRDefault="00EB6930" w:rsidP="007A43FA">
      <w:pPr>
        <w:spacing w:line="240" w:lineRule="auto"/>
        <w:jc w:val="both"/>
      </w:pPr>
      <w:r w:rsidRPr="007A43FA">
        <w:t>The bottom section, Zone C is packed with one bed (Bed 3) of structured packing (INTALOX 2T or equivalent) constructed from 2205 Duplex stainless steel.</w:t>
      </w:r>
    </w:p>
    <w:p w:rsidR="00454A46"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 An access panel is fitted on the partition baffle for inspection purposes and a drain hole is also provided at the baffle low point to ensure complete draining during shutdowns.</w:t>
      </w:r>
    </w:p>
    <w:p w:rsidR="00BC54D5" w:rsidRDefault="00BC54D5"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r w:rsidRPr="000A1F40">
              <w:rPr>
                <w:rFonts w:asciiTheme="minorHAnsi" w:hAnsiTheme="minorHAnsi"/>
                <w:b w:val="0"/>
                <w:sz w:val="20"/>
              </w:rPr>
              <w:t>Barg)</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(Barg)</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tubeside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tubeside fluid leaves the exchanger or where it is returned to the front header in exchangers with multiple tubeside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654840"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sidRPr="003C3612">
        <w:rPr>
          <w:rFonts w:eastAsia="Times New Roman" w:cs="Arial"/>
          <w:b/>
          <w:bCs/>
          <w:sz w:val="24"/>
          <w:szCs w:val="24"/>
          <w:lang w:val="en"/>
        </w:rPr>
        <w:t>Kettle Reboilers</w:t>
      </w:r>
    </w:p>
    <w:p w:rsidR="00654840" w:rsidRDefault="00654840" w:rsidP="00654840">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disentrainment of liquid from the outgoing vapor and the problem of the collection of scale and other solid materials in the tube bundle region over long periods of operation.</w:t>
      </w:r>
    </w:p>
    <w:p w:rsidR="00B926AA" w:rsidRDefault="000D10E5" w:rsidP="00B926AA">
      <w:pPr>
        <w:shd w:val="clear" w:color="auto" w:fill="FEFEFE"/>
        <w:spacing w:before="100" w:beforeAutospacing="1" w:after="100" w:afterAutospacing="1" w:line="240" w:lineRule="auto"/>
        <w:jc w:val="center"/>
        <w:rPr>
          <w:rFonts w:eastAsia="Times New Roman" w:cs="Arial"/>
          <w:lang w:val="en"/>
        </w:rPr>
      </w:pPr>
      <w:r>
        <w:rPr>
          <w:noProof/>
        </w:rPr>
        <w:drawing>
          <wp:inline distT="0" distB="0" distL="0" distR="0" wp14:anchorId="0EF868E2" wp14:editId="6ADC5980">
            <wp:extent cx="3390181" cy="249843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89746" cy="2498112"/>
                    </a:xfrm>
                    <a:prstGeom prst="rect">
                      <a:avLst/>
                    </a:prstGeom>
                  </pic:spPr>
                </pic:pic>
              </a:graphicData>
            </a:graphic>
          </wp:inline>
        </w:drawing>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lastRenderedPageBreak/>
        <w:t>Vertical Thermosyphon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vertical thermosyphon</w:t>
      </w:r>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0D10E5" w:rsidRDefault="00C22F6A" w:rsidP="00C22F6A">
      <w:pPr>
        <w:shd w:val="clear" w:color="auto" w:fill="FEFEFE"/>
        <w:spacing w:before="100" w:beforeAutospacing="1" w:after="100" w:afterAutospacing="1" w:line="240" w:lineRule="auto"/>
        <w:jc w:val="center"/>
        <w:rPr>
          <w:rFonts w:eastAsia="Times New Roman" w:cs="Arial"/>
          <w:lang w:val="en"/>
        </w:rPr>
      </w:pPr>
      <w:r>
        <w:rPr>
          <w:noProof/>
        </w:rPr>
        <w:drawing>
          <wp:inline distT="0" distB="0" distL="0" distR="0" wp14:anchorId="4A488449" wp14:editId="5B07C10E">
            <wp:extent cx="2562045" cy="3358283"/>
            <wp:effectExtent l="0" t="0" r="0" b="0"/>
            <wp:docPr id="15" name="Picture 15" descr="http://www.thermopedia.com/content/5499/REBOILERS_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rmopedia.com/content/5499/REBOILERS_FIG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445" cy="3358807"/>
                    </a:xfrm>
                    <a:prstGeom prst="rect">
                      <a:avLst/>
                    </a:prstGeom>
                    <a:noFill/>
                    <a:ln>
                      <a:noFill/>
                    </a:ln>
                  </pic:spPr>
                </pic:pic>
              </a:graphicData>
            </a:graphic>
          </wp:inline>
        </w:drawing>
      </w:r>
    </w:p>
    <w:p w:rsidR="00B926AA" w:rsidRDefault="00B926AA" w:rsidP="00C22F6A">
      <w:pPr>
        <w:shd w:val="clear" w:color="auto" w:fill="FEFEFE"/>
        <w:spacing w:before="100" w:beforeAutospacing="1" w:after="100" w:afterAutospacing="1" w:line="240" w:lineRule="auto"/>
        <w:jc w:val="center"/>
        <w:rPr>
          <w:rFonts w:eastAsia="Times New Roman" w:cs="Arial"/>
          <w:lang w:val="en"/>
        </w:rPr>
      </w:pPr>
    </w:p>
    <w:p w:rsidR="007A43FA" w:rsidRPr="00302ED6" w:rsidRDefault="0020113B" w:rsidP="00302ED6">
      <w:pPr>
        <w:shd w:val="clear" w:color="auto" w:fill="FEFEFE"/>
        <w:spacing w:before="100" w:beforeAutospacing="1" w:after="100" w:afterAutospacing="1" w:line="240" w:lineRule="auto"/>
        <w:ind w:left="630"/>
        <w:jc w:val="both"/>
        <w:rPr>
          <w:rFonts w:eastAsia="Times New Roman" w:cs="Times New Roman"/>
          <w:b/>
          <w:sz w:val="26"/>
          <w:szCs w:val="26"/>
          <w:lang w:val="en"/>
        </w:rPr>
      </w:pPr>
      <w:r w:rsidRPr="00302ED6">
        <w:rPr>
          <w:rFonts w:eastAsia="Times New Roman" w:cs="Times New Roman"/>
          <w:b/>
          <w:sz w:val="26"/>
          <w:szCs w:val="26"/>
          <w:lang w:val="en"/>
        </w:rPr>
        <w:t>2.8 PUMPS</w:t>
      </w:r>
      <w:r w:rsidR="00A9365C">
        <w:rPr>
          <w:rFonts w:eastAsia="Times New Roman" w:cs="Times New Roman"/>
          <w:b/>
          <w:sz w:val="26"/>
          <w:szCs w:val="26"/>
          <w:lang w:val="en"/>
        </w:rPr>
        <w:t>,</w:t>
      </w:r>
      <w:r w:rsidR="00302ED6" w:rsidRPr="00302ED6">
        <w:rPr>
          <w:rFonts w:eastAsia="Times New Roman" w:cs="Times New Roman"/>
          <w:b/>
          <w:sz w:val="26"/>
          <w:szCs w:val="26"/>
          <w:lang w:val="en"/>
        </w:rPr>
        <w:t xml:space="preserve"> COMPRESSORS</w:t>
      </w:r>
      <w:r w:rsidR="00A9365C">
        <w:rPr>
          <w:rFonts w:eastAsia="Times New Roman" w:cs="Times New Roman"/>
          <w:b/>
          <w:sz w:val="26"/>
          <w:szCs w:val="26"/>
          <w:lang w:val="en"/>
        </w:rPr>
        <w:t xml:space="preserve"> AND EVAPORATOR </w:t>
      </w:r>
    </w:p>
    <w:p w:rsidR="005C7CF7" w:rsidRPr="00302ED6" w:rsidRDefault="005C7CF7" w:rsidP="00302ED6">
      <w:pPr>
        <w:shd w:val="clear" w:color="auto" w:fill="FEFEFE"/>
        <w:spacing w:before="100" w:beforeAutospacing="1" w:after="100" w:afterAutospacing="1" w:line="240" w:lineRule="auto"/>
        <w:jc w:val="both"/>
        <w:rPr>
          <w:rFonts w:eastAsia="Times New Roman" w:cs="Times New Roman"/>
          <w:b/>
          <w:sz w:val="24"/>
          <w:szCs w:val="24"/>
          <w:lang w:val="en"/>
        </w:rPr>
      </w:pPr>
      <w:r w:rsidRPr="00302ED6">
        <w:rPr>
          <w:rFonts w:eastAsia="Times New Roman" w:cs="Times New Roman"/>
          <w:b/>
          <w:sz w:val="24"/>
          <w:szCs w:val="24"/>
          <w:lang w:val="en"/>
        </w:rPr>
        <w:t>2.8.1 PUMPS:</w:t>
      </w:r>
    </w:p>
    <w:p w:rsidR="005C7CF7" w:rsidRPr="00302ED6" w:rsidRDefault="005C7CF7" w:rsidP="00302ED6">
      <w:pPr>
        <w:shd w:val="clear" w:color="auto" w:fill="FEFEFE"/>
        <w:spacing w:before="100" w:beforeAutospacing="1" w:after="100" w:afterAutospacing="1" w:line="240" w:lineRule="auto"/>
        <w:jc w:val="both"/>
        <w:rPr>
          <w:lang w:val="en"/>
        </w:rPr>
      </w:pPr>
      <w:r w:rsidRPr="00302ED6">
        <w:rPr>
          <w:lang w:val="en"/>
        </w:rPr>
        <w:t xml:space="preserve">A </w:t>
      </w:r>
      <w:r w:rsidRPr="00302ED6">
        <w:rPr>
          <w:b/>
          <w:bCs/>
          <w:lang w:val="en"/>
        </w:rPr>
        <w:t>pump</w:t>
      </w:r>
      <w:r w:rsidRPr="00302ED6">
        <w:rPr>
          <w:lang w:val="en"/>
        </w:rPr>
        <w:t xml:space="preserve"> is a device that moves fluids (liquids or gases), or sometimes slurries, by mechanical action</w:t>
      </w:r>
    </w:p>
    <w:p w:rsidR="005C7CF7" w:rsidRPr="00302ED6" w:rsidRDefault="005C7CF7" w:rsidP="00302ED6">
      <w:pPr>
        <w:shd w:val="clear" w:color="auto" w:fill="FEFEFE"/>
        <w:spacing w:before="100" w:beforeAutospacing="1" w:after="100" w:afterAutospacing="1" w:line="240" w:lineRule="auto"/>
        <w:jc w:val="both"/>
        <w:rPr>
          <w:rFonts w:eastAsia="Times New Roman" w:cs="Times New Roman"/>
          <w:b/>
          <w:lang w:val="en"/>
        </w:rPr>
      </w:pPr>
      <w:r w:rsidRPr="00302ED6">
        <w:rPr>
          <w:b/>
          <w:lang w:val="en"/>
        </w:rPr>
        <w:t>CENTRIFUGAL PUMPS:</w:t>
      </w:r>
    </w:p>
    <w:p w:rsidR="005C7CF7" w:rsidRPr="005C7CF7" w:rsidRDefault="005C7CF7" w:rsidP="00302ED6">
      <w:pPr>
        <w:spacing w:after="100" w:afterAutospacing="1" w:line="240" w:lineRule="auto"/>
        <w:jc w:val="both"/>
        <w:rPr>
          <w:rFonts w:eastAsia="Times New Roman" w:cs="Arial"/>
        </w:rPr>
      </w:pPr>
      <w:r w:rsidRPr="005C7CF7">
        <w:rPr>
          <w:rFonts w:eastAsia="Times New Roman" w:cs="Arial"/>
        </w:rPr>
        <w:t>A centrifugal pump converts input power to kinetic energy by accelerating liquid in a revolving device - an impeller.</w:t>
      </w:r>
    </w:p>
    <w:p w:rsidR="005C7CF7" w:rsidRPr="005C7CF7" w:rsidRDefault="005C7CF7" w:rsidP="00302ED6">
      <w:pPr>
        <w:spacing w:after="100" w:afterAutospacing="1" w:line="240" w:lineRule="auto"/>
        <w:jc w:val="both"/>
        <w:rPr>
          <w:rFonts w:eastAsia="Times New Roman" w:cs="Arial"/>
        </w:rPr>
      </w:pPr>
      <w:r w:rsidRPr="005C7CF7">
        <w:rPr>
          <w:rFonts w:eastAsia="Times New Roman" w:cs="Arial"/>
        </w:rPr>
        <w:t>The most common is the volute pump - where fluid enters the pump through the eye of the impeller which rotates at high speed. The fluid accelerates radially outward from the pump chasing and a vacuum is created at the impellers eye that continuously draws more fluid into the pump.</w:t>
      </w:r>
    </w:p>
    <w:p w:rsidR="00C22F6A" w:rsidRPr="00302ED6" w:rsidRDefault="005C7CF7" w:rsidP="00302ED6">
      <w:pPr>
        <w:shd w:val="clear" w:color="auto" w:fill="FEFEFE"/>
        <w:spacing w:before="100" w:beforeAutospacing="1" w:after="100" w:afterAutospacing="1" w:line="240" w:lineRule="auto"/>
        <w:jc w:val="both"/>
        <w:rPr>
          <w:lang w:val="en"/>
        </w:rPr>
      </w:pPr>
      <w:r w:rsidRPr="00302ED6">
        <w:rPr>
          <w:lang w:val="en"/>
        </w:rPr>
        <w:lastRenderedPageBreak/>
        <w:t>Common uses include water, sewage, petroleum and petrochemical pumping. The reverse function of the centrifugal pump is a water turbine converting potential energy of water pressure into mechanical rotational energy.</w:t>
      </w:r>
    </w:p>
    <w:p w:rsidR="005C7CF7" w:rsidRPr="00302ED6" w:rsidRDefault="005C7CF7" w:rsidP="00302ED6">
      <w:pPr>
        <w:shd w:val="clear" w:color="auto" w:fill="FEFEFE"/>
        <w:spacing w:before="100" w:beforeAutospacing="1" w:after="100" w:afterAutospacing="1" w:line="240" w:lineRule="auto"/>
        <w:jc w:val="both"/>
        <w:rPr>
          <w:rFonts w:eastAsia="Times New Roman" w:cs="Arial"/>
          <w:b/>
          <w:lang w:val="en"/>
        </w:rPr>
      </w:pPr>
      <w:r w:rsidRPr="00302ED6">
        <w:rPr>
          <w:b/>
          <w:lang w:val="en"/>
        </w:rPr>
        <w:t>RECIPROCATING PUMPS:</w:t>
      </w:r>
    </w:p>
    <w:p w:rsidR="000F4F2B" w:rsidRPr="00302ED6" w:rsidRDefault="00302ED6" w:rsidP="00302ED6">
      <w:pPr>
        <w:spacing w:line="240" w:lineRule="auto"/>
        <w:jc w:val="both"/>
      </w:pPr>
      <w:r w:rsidRPr="00302ED6">
        <w:t>Reciprocating pump is a positive displacement pump. The given pump is single acting single cylinder pump with air vessel. It can be used for less discharge at higher heads. Priming is not required because it is a positive displacement pump. Reciprocating pumps are used in pumping water in hilly areas. Reciprocating pumps has lower efficiency compared to centrifugal pumps.</w:t>
      </w:r>
    </w:p>
    <w:p w:rsidR="00302ED6" w:rsidRPr="00302ED6" w:rsidRDefault="00302ED6" w:rsidP="00302ED6">
      <w:pPr>
        <w:spacing w:line="240" w:lineRule="auto"/>
        <w:jc w:val="both"/>
        <w:rPr>
          <w:b/>
          <w:sz w:val="24"/>
          <w:szCs w:val="24"/>
        </w:rPr>
      </w:pPr>
      <w:r w:rsidRPr="00302ED6">
        <w:rPr>
          <w:b/>
          <w:sz w:val="24"/>
          <w:szCs w:val="24"/>
        </w:rPr>
        <w:t>2.8.2 COMPRESSORS:</w:t>
      </w:r>
    </w:p>
    <w:p w:rsidR="00302ED6" w:rsidRPr="00302ED6" w:rsidRDefault="00302ED6" w:rsidP="00302ED6">
      <w:pPr>
        <w:autoSpaceDE w:val="0"/>
        <w:autoSpaceDN w:val="0"/>
        <w:adjustRightInd w:val="0"/>
        <w:spacing w:after="0" w:line="240" w:lineRule="auto"/>
        <w:jc w:val="both"/>
        <w:rPr>
          <w:rFonts w:cs="Calibri"/>
        </w:rPr>
      </w:pPr>
      <w:r w:rsidRPr="00302ED6">
        <w:rPr>
          <w:lang w:val="en"/>
        </w:rPr>
        <w:t xml:space="preserve">An </w:t>
      </w:r>
      <w:r w:rsidRPr="00302ED6">
        <w:rPr>
          <w:b/>
          <w:bCs/>
          <w:lang w:val="en"/>
        </w:rPr>
        <w:t>air compressor</w:t>
      </w:r>
      <w:r w:rsidRPr="00302ED6">
        <w:rPr>
          <w:lang w:val="en"/>
        </w:rPr>
        <w:t xml:space="preserve"> is a device that converts power (using an electric motor, diesel or gasoline engine, etc.) into potential energy stored in pressurized air (i.e., compressed air). </w:t>
      </w:r>
      <w:r w:rsidRPr="00302ED6">
        <w:rPr>
          <w:rFonts w:cs="Calibri"/>
        </w:rPr>
        <w:t>Compressor C5-113 is a five-stage multi-shaft centrifugal compressor with three intercoolers, E5-116, E5-117 and E5-118, in between the stages. E5-116 is the 1st stage intercooler between 1st and the 2ndstage. E5-117 is the 2nd stage intercooler between 2nd and the 3rd stage. E5-118 is the 3rd stage intercooler between the 3rd and the 4th stage. E5-118 is provided with a TCV in the bypass for temperature control. Intercoolers are provided for increasing the compressor Efficiency.</w:t>
      </w:r>
    </w:p>
    <w:p w:rsidR="00A9365C" w:rsidRPr="00A9365C" w:rsidRDefault="00A9365C" w:rsidP="000F4F2B">
      <w:pPr>
        <w:rPr>
          <w:b/>
          <w:sz w:val="4"/>
          <w:szCs w:val="4"/>
        </w:rPr>
      </w:pPr>
    </w:p>
    <w:p w:rsidR="00A9365C" w:rsidRDefault="00A9365C" w:rsidP="000F4F2B">
      <w:pPr>
        <w:rPr>
          <w:b/>
          <w:sz w:val="24"/>
          <w:szCs w:val="24"/>
        </w:rPr>
      </w:pPr>
      <w:r w:rsidRPr="00A9365C">
        <w:rPr>
          <w:b/>
          <w:sz w:val="24"/>
          <w:szCs w:val="24"/>
        </w:rPr>
        <w:t>2.8.3 EVAPORATORS</w:t>
      </w:r>
      <w:r w:rsidR="00B20D39">
        <w:rPr>
          <w:b/>
          <w:sz w:val="24"/>
          <w:szCs w:val="24"/>
        </w:rPr>
        <w:t>:</w:t>
      </w:r>
    </w:p>
    <w:p w:rsidR="00B20D39" w:rsidRPr="00B20D39" w:rsidRDefault="00B20D39" w:rsidP="00312101">
      <w:pPr>
        <w:autoSpaceDE w:val="0"/>
        <w:autoSpaceDN w:val="0"/>
        <w:adjustRightInd w:val="0"/>
        <w:spacing w:after="0" w:line="240" w:lineRule="auto"/>
        <w:jc w:val="both"/>
        <w:rPr>
          <w:rFonts w:ascii="Calibri" w:hAnsi="Calibri" w:cs="Calibri"/>
        </w:rPr>
      </w:pPr>
      <w:r>
        <w:rPr>
          <w:rFonts w:ascii="Calibri" w:hAnsi="Calibri" w:cs="Calibri"/>
        </w:rPr>
        <w:t>The Residue Evaporator is a wiped film type unit. It is in principle a vertical, externally-heated tube over whose inner surface a rotor spreads the product that is to be evaporated as a thin film.</w:t>
      </w:r>
    </w:p>
    <w:p w:rsidR="00A9365C" w:rsidRPr="00A9365C" w:rsidRDefault="00A9365C" w:rsidP="000F4F2B">
      <w:pPr>
        <w:rPr>
          <w:b/>
          <w:sz w:val="24"/>
          <w:szCs w:val="24"/>
        </w:rPr>
      </w:pPr>
    </w:p>
    <w:p w:rsidR="000F4F2B" w:rsidRDefault="000F4F2B" w:rsidP="000F4F2B">
      <w:pPr>
        <w:rPr>
          <w:b/>
          <w:sz w:val="30"/>
          <w:szCs w:val="30"/>
        </w:rPr>
      </w:pPr>
    </w:p>
    <w:p w:rsidR="00B926AA" w:rsidRDefault="00B926AA" w:rsidP="000F4F2B">
      <w:pPr>
        <w:rPr>
          <w:b/>
          <w:sz w:val="30"/>
          <w:szCs w:val="30"/>
        </w:rPr>
      </w:pPr>
    </w:p>
    <w:p w:rsidR="00A9365C" w:rsidRDefault="00A9365C" w:rsidP="00D27A38">
      <w:pPr>
        <w:rPr>
          <w:b/>
          <w:sz w:val="30"/>
          <w:szCs w:val="30"/>
        </w:rPr>
      </w:pPr>
    </w:p>
    <w:p w:rsidR="00BC54D5" w:rsidRDefault="00BC54D5" w:rsidP="00D27A38">
      <w:pPr>
        <w:rPr>
          <w:b/>
          <w:sz w:val="30"/>
          <w:szCs w:val="30"/>
        </w:rPr>
      </w:pPr>
    </w:p>
    <w:p w:rsidR="00BC54D5" w:rsidRDefault="00BC54D5" w:rsidP="00D27A38">
      <w:pPr>
        <w:rPr>
          <w:b/>
          <w:sz w:val="30"/>
          <w:szCs w:val="30"/>
        </w:rPr>
      </w:pPr>
    </w:p>
    <w:p w:rsidR="00BC54D5" w:rsidRDefault="00BC54D5" w:rsidP="00D27A38">
      <w:pPr>
        <w:rPr>
          <w:b/>
          <w:sz w:val="30"/>
          <w:szCs w:val="30"/>
        </w:rPr>
      </w:pPr>
    </w:p>
    <w:p w:rsidR="00BC54D5" w:rsidRDefault="00BC54D5" w:rsidP="00D27A38">
      <w:pPr>
        <w:rPr>
          <w:b/>
          <w:sz w:val="30"/>
          <w:szCs w:val="30"/>
        </w:rPr>
      </w:pPr>
    </w:p>
    <w:p w:rsidR="00BC54D5" w:rsidRDefault="00BC54D5" w:rsidP="00D27A38">
      <w:pPr>
        <w:rPr>
          <w:b/>
          <w:sz w:val="30"/>
          <w:szCs w:val="30"/>
        </w:rPr>
      </w:pPr>
    </w:p>
    <w:p w:rsidR="00BC54D5" w:rsidRDefault="00BC54D5" w:rsidP="00D27A38">
      <w:pPr>
        <w:rPr>
          <w:b/>
          <w:sz w:val="30"/>
          <w:szCs w:val="30"/>
        </w:rPr>
      </w:pPr>
    </w:p>
    <w:p w:rsidR="00BC54D5" w:rsidRDefault="00BC54D5" w:rsidP="00D27A38">
      <w:pPr>
        <w:rPr>
          <w:b/>
          <w:sz w:val="30"/>
          <w:szCs w:val="30"/>
        </w:rPr>
      </w:pPr>
    </w:p>
    <w:tbl>
      <w:tblPr>
        <w:tblW w:w="8936" w:type="dxa"/>
        <w:jc w:val="center"/>
        <w:tblLook w:val="04A0" w:firstRow="1" w:lastRow="0" w:firstColumn="1" w:lastColumn="0" w:noHBand="0" w:noVBand="1"/>
      </w:tblPr>
      <w:tblGrid>
        <w:gridCol w:w="1447"/>
        <w:gridCol w:w="801"/>
        <w:gridCol w:w="414"/>
        <w:gridCol w:w="921"/>
        <w:gridCol w:w="390"/>
        <w:gridCol w:w="802"/>
        <w:gridCol w:w="1475"/>
        <w:gridCol w:w="63"/>
        <w:gridCol w:w="1152"/>
        <w:gridCol w:w="183"/>
        <w:gridCol w:w="1288"/>
      </w:tblGrid>
      <w:tr w:rsidR="007D4563" w:rsidRPr="007D4563" w:rsidTr="007D4563">
        <w:trPr>
          <w:trHeight w:val="375"/>
          <w:jc w:val="center"/>
        </w:trPr>
        <w:tc>
          <w:tcPr>
            <w:tcW w:w="8936" w:type="dxa"/>
            <w:gridSpan w:val="11"/>
            <w:tcBorders>
              <w:top w:val="nil"/>
              <w:left w:val="nil"/>
              <w:bottom w:val="nil"/>
              <w:right w:val="nil"/>
            </w:tcBorders>
            <w:shd w:val="clear" w:color="auto" w:fill="auto"/>
            <w:noWrap/>
            <w:vAlign w:val="bottom"/>
            <w:hideMark/>
          </w:tcPr>
          <w:p w:rsidR="007D4563" w:rsidRPr="00CB2E8B" w:rsidRDefault="008004EA" w:rsidP="007D4563">
            <w:pPr>
              <w:spacing w:after="0" w:line="240" w:lineRule="auto"/>
              <w:jc w:val="center"/>
              <w:rPr>
                <w:rFonts w:ascii="Arial Black" w:eastAsia="Times New Roman" w:hAnsi="Arial Black" w:cs="Times New Roman"/>
                <w:b/>
                <w:bCs/>
                <w:color w:val="000000"/>
                <w:sz w:val="28"/>
                <w:szCs w:val="28"/>
                <w:u w:val="single"/>
              </w:rPr>
            </w:pPr>
            <w:r w:rsidRPr="00CB2E8B">
              <w:rPr>
                <w:rFonts w:ascii="Arial Black" w:eastAsia="Times New Roman" w:hAnsi="Arial Black" w:cs="Times New Roman"/>
                <w:b/>
                <w:bCs/>
                <w:color w:val="000000"/>
                <w:sz w:val="28"/>
                <w:szCs w:val="28"/>
                <w:u w:val="single"/>
              </w:rPr>
              <w:lastRenderedPageBreak/>
              <w:t>MASS AND ENTHALPY</w:t>
            </w:r>
            <w:r w:rsidR="007D4563" w:rsidRPr="00CB2E8B">
              <w:rPr>
                <w:rFonts w:ascii="Arial Black" w:eastAsia="Times New Roman" w:hAnsi="Arial Black" w:cs="Times New Roman"/>
                <w:b/>
                <w:bCs/>
                <w:color w:val="000000"/>
                <w:sz w:val="28"/>
                <w:szCs w:val="28"/>
                <w:u w:val="single"/>
              </w:rPr>
              <w:t xml:space="preserve"> BALANCES</w:t>
            </w:r>
          </w:p>
        </w:tc>
      </w:tr>
      <w:tr w:rsidR="007D4563" w:rsidRPr="007D4563" w:rsidTr="007D4563">
        <w:trPr>
          <w:trHeight w:val="375"/>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8"/>
                <w:szCs w:val="28"/>
                <w:u w:val="single"/>
              </w:rPr>
            </w:pP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First Crystallizer</w:t>
            </w: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397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963" w:type="dxa"/>
            <w:gridSpan w:val="6"/>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31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2277"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47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12148.5</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47</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486069</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-957560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464625</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-904490</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53704.9</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-94169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118</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37071.4</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-85798</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539773.9</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-1051729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17928.6</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17928.6</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4000</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-9258</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120</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4000</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-9258</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539773.5</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-990856.4</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-0.4</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60872.6</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HP Absorber</w:t>
            </w: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397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963" w:type="dxa"/>
            <w:gridSpan w:val="6"/>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31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2277"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471"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12137.2</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-1846</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20</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365111</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-24789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17b</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362309</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-36457</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21</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141460</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-397730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130850</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-363720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22a</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86425.2</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-197820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6000</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-26356</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592996.2</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-620339</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114b</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81699.4</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-191980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592995.6</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-620359</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-0.6</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-20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Dehydration Column</w:t>
            </w:r>
          </w:p>
        </w:tc>
      </w:tr>
      <w:tr w:rsidR="007D4563" w:rsidRPr="007D4563" w:rsidTr="007D4563">
        <w:trPr>
          <w:trHeight w:val="300"/>
          <w:jc w:val="center"/>
        </w:trPr>
        <w:tc>
          <w:tcPr>
            <w:tcW w:w="1447"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1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2277"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1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471"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3973"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963" w:type="dxa"/>
            <w:gridSpan w:val="6"/>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1447" w:type="dxa"/>
            <w:tcBorders>
              <w:top w:val="nil"/>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311"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2277"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Stream no.</w:t>
            </w:r>
          </w:p>
        </w:tc>
        <w:tc>
          <w:tcPr>
            <w:tcW w:w="121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471"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53</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41567.7</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-102140</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122</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6100</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-13302</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54987.1</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-119910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125-122-139+124</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6000.4</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-5456.8</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21</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141460</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-9258</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487226</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-795520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99</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60762</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-140350</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109a</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231359</w:t>
            </w: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-531080</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107</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4461.6</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-10054</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730685.4</w:t>
            </w: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-1345358.8</w:t>
            </w: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124</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5881.8</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-8387</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128</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421614</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-635190</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730734.2</w:t>
            </w:r>
          </w:p>
        </w:tc>
        <w:tc>
          <w:tcPr>
            <w:tcW w:w="13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-1025289</w:t>
            </w:r>
          </w:p>
        </w:tc>
        <w:tc>
          <w:tcPr>
            <w:tcW w:w="22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144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48.8</w:t>
            </w:r>
          </w:p>
        </w:tc>
        <w:tc>
          <w:tcPr>
            <w:tcW w:w="131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320069.8</w:t>
            </w:r>
          </w:p>
        </w:tc>
        <w:tc>
          <w:tcPr>
            <w:tcW w:w="2277"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1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471"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lastRenderedPageBreak/>
              <w:t>Mother Liqour  Drum</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47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161" w:type="dxa"/>
            <w:gridSpan w:val="5"/>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2248" w:type="dxa"/>
            <w:gridSpan w:val="2"/>
            <w:tcBorders>
              <w:top w:val="nil"/>
              <w:left w:val="single" w:sz="4" w:space="0" w:color="auto"/>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192"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1538"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288" w:type="dxa"/>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155</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15603.9</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-36724</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x</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0</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80</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239726</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-551980</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78</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13252</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-32181</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90</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11947.6</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-26581</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125</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8012.6</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-20651</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95+x+133+159-88</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-288554.1</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667963</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-12</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-154</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Solvent Stripper</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47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161" w:type="dxa"/>
            <w:gridSpan w:val="5"/>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2248" w:type="dxa"/>
            <w:gridSpan w:val="2"/>
            <w:tcBorders>
              <w:top w:val="nil"/>
              <w:left w:val="single" w:sz="4" w:space="0" w:color="auto"/>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192"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1538"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A0311"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288" w:type="dxa"/>
            <w:tcBorders>
              <w:top w:val="nil"/>
              <w:left w:val="nil"/>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110</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10000</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-23144</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99</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60762</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-140350</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154</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46960</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-111350</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240000</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-452260</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63</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566.1</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-2445</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101</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963116</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-1801200</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96</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4485.4</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-18598</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102</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4030.4</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-7594</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100</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240000</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-452260</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1267908.4</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-2401404</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101</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963116</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-1801200</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103</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2693.1</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-5472</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106</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87.8</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-317</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1267908.4</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-2414786</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0</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-13382</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p>
        </w:tc>
      </w:tr>
      <w:tr w:rsidR="007D4563" w:rsidRPr="007D4563" w:rsidTr="007D4563">
        <w:trPr>
          <w:trHeight w:val="300"/>
          <w:jc w:val="center"/>
        </w:trPr>
        <w:tc>
          <w:tcPr>
            <w:tcW w:w="8936" w:type="dxa"/>
            <w:gridSpan w:val="11"/>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sz w:val="24"/>
                <w:szCs w:val="24"/>
                <w:u w:val="single"/>
              </w:rPr>
            </w:pPr>
            <w:r w:rsidRPr="007D4563">
              <w:rPr>
                <w:rFonts w:ascii="Calibri" w:eastAsia="Times New Roman" w:hAnsi="Calibri" w:cs="Times New Roman"/>
                <w:b/>
                <w:bCs/>
                <w:color w:val="000000"/>
                <w:sz w:val="24"/>
                <w:szCs w:val="24"/>
                <w:u w:val="single"/>
              </w:rPr>
              <w:t>Offgas Scrubber</w:t>
            </w:r>
          </w:p>
        </w:tc>
      </w:tr>
      <w:tr w:rsidR="007D4563" w:rsidRPr="007D4563" w:rsidTr="007D4563">
        <w:trPr>
          <w:trHeight w:val="300"/>
          <w:jc w:val="center"/>
        </w:trPr>
        <w:tc>
          <w:tcPr>
            <w:tcW w:w="224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192"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538"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335" w:type="dxa"/>
            <w:gridSpan w:val="2"/>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c>
          <w:tcPr>
            <w:tcW w:w="1288" w:type="dxa"/>
            <w:tcBorders>
              <w:top w:val="nil"/>
              <w:left w:val="nil"/>
              <w:bottom w:val="nil"/>
              <w:right w:val="nil"/>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u w:val="single"/>
              </w:rPr>
            </w:pPr>
          </w:p>
        </w:tc>
      </w:tr>
      <w:tr w:rsidR="007D4563" w:rsidRPr="007D4563" w:rsidTr="007D4563">
        <w:trPr>
          <w:trHeight w:val="300"/>
          <w:jc w:val="center"/>
        </w:trPr>
        <w:tc>
          <w:tcPr>
            <w:tcW w:w="47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INLET</w:t>
            </w:r>
          </w:p>
        </w:tc>
        <w:tc>
          <w:tcPr>
            <w:tcW w:w="4161" w:type="dxa"/>
            <w:gridSpan w:val="5"/>
            <w:tcBorders>
              <w:top w:val="single" w:sz="4" w:space="0" w:color="auto"/>
              <w:left w:val="nil"/>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OUTLET</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w:t>
            </w:r>
            <w:r w:rsidR="007D4563" w:rsidRPr="007D4563">
              <w:rPr>
                <w:rFonts w:ascii="Calibri" w:eastAsia="Times New Roman" w:hAnsi="Calibri" w:cs="Times New Roman"/>
                <w:b/>
                <w:bCs/>
                <w:color w:val="FFFFFF"/>
              </w:rPr>
              <w:t>tream no.</w:t>
            </w:r>
          </w:p>
        </w:tc>
        <w:tc>
          <w:tcPr>
            <w:tcW w:w="133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Mass</w:t>
            </w:r>
          </w:p>
        </w:tc>
        <w:tc>
          <w:tcPr>
            <w:tcW w:w="1192"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FFFFFF"/>
              </w:rPr>
            </w:pPr>
            <w:r w:rsidRPr="007D4563">
              <w:rPr>
                <w:rFonts w:ascii="Calibri" w:eastAsia="Times New Roman" w:hAnsi="Calibri" w:cs="Times New Roman"/>
                <w:b/>
                <w:bCs/>
                <w:color w:val="FFFFFF"/>
              </w:rPr>
              <w:t>Enthalpy</w:t>
            </w:r>
          </w:p>
        </w:tc>
        <w:tc>
          <w:tcPr>
            <w:tcW w:w="1538"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Stream no.</w:t>
            </w:r>
          </w:p>
        </w:tc>
        <w:tc>
          <w:tcPr>
            <w:tcW w:w="1335" w:type="dxa"/>
            <w:gridSpan w:val="2"/>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Mass</w:t>
            </w:r>
          </w:p>
        </w:tc>
        <w:tc>
          <w:tcPr>
            <w:tcW w:w="1288" w:type="dxa"/>
            <w:tcBorders>
              <w:top w:val="single" w:sz="4" w:space="0" w:color="auto"/>
              <w:left w:val="single" w:sz="4" w:space="0" w:color="auto"/>
              <w:bottom w:val="single" w:sz="4" w:space="0" w:color="auto"/>
              <w:right w:val="single" w:sz="4" w:space="0" w:color="auto"/>
            </w:tcBorders>
            <w:shd w:val="clear" w:color="000000" w:fill="0D0D0D"/>
            <w:noWrap/>
            <w:vAlign w:val="bottom"/>
            <w:hideMark/>
          </w:tcPr>
          <w:p w:rsidR="007D4563" w:rsidRPr="007D4563" w:rsidRDefault="002B0836" w:rsidP="007D4563">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Enthalpy</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44</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19139.9</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38</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334877</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xml:space="preserve">37 + 94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4617.2</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39</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193096</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36</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314522</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527973</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143</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4568.3</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43</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179687</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x</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5500</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Total</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528034.4</w:t>
            </w:r>
          </w:p>
        </w:tc>
        <w:tc>
          <w:tcPr>
            <w:tcW w:w="1192"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335" w:type="dxa"/>
            <w:gridSpan w:val="2"/>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r w:rsidR="007D4563" w:rsidRPr="007D4563" w:rsidTr="007D4563">
        <w:trPr>
          <w:trHeight w:val="300"/>
          <w:jc w:val="center"/>
        </w:trPr>
        <w:tc>
          <w:tcPr>
            <w:tcW w:w="22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Error</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b/>
                <w:bCs/>
                <w:color w:val="000000"/>
              </w:rPr>
            </w:pPr>
            <w:r w:rsidRPr="007D4563">
              <w:rPr>
                <w:rFonts w:ascii="Calibri" w:eastAsia="Times New Roman" w:hAnsi="Calibri" w:cs="Times New Roman"/>
                <w:b/>
                <w:bCs/>
                <w:color w:val="000000"/>
              </w:rPr>
              <w:t>61.4</w:t>
            </w:r>
          </w:p>
        </w:tc>
        <w:tc>
          <w:tcPr>
            <w:tcW w:w="119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5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xml:space="preserve"> </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c>
          <w:tcPr>
            <w:tcW w:w="1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D4563" w:rsidRPr="007D4563" w:rsidRDefault="007D4563" w:rsidP="007D4563">
            <w:pPr>
              <w:spacing w:after="0" w:line="240" w:lineRule="auto"/>
              <w:jc w:val="center"/>
              <w:rPr>
                <w:rFonts w:ascii="Calibri" w:eastAsia="Times New Roman" w:hAnsi="Calibri" w:cs="Times New Roman"/>
                <w:color w:val="000000"/>
              </w:rPr>
            </w:pPr>
            <w:r w:rsidRPr="007D4563">
              <w:rPr>
                <w:rFonts w:ascii="Calibri" w:eastAsia="Times New Roman" w:hAnsi="Calibri" w:cs="Times New Roman"/>
                <w:color w:val="000000"/>
              </w:rPr>
              <w:t> </w:t>
            </w:r>
          </w:p>
        </w:tc>
      </w:tr>
    </w:tbl>
    <w:p w:rsidR="00613682" w:rsidRDefault="00613682" w:rsidP="007D4563">
      <w:pPr>
        <w:jc w:val="center"/>
        <w:rPr>
          <w:rFonts w:ascii="Times New Roman" w:hAnsi="Times New Roman" w:cs="Times New Roman"/>
          <w:b/>
          <w:sz w:val="36"/>
          <w:szCs w:val="30"/>
          <w:u w:val="single"/>
        </w:rPr>
      </w:pP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demin water plant blowdowns)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mg/litre</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0F4F2B" w:rsidRPr="000F4F2B" w:rsidRDefault="000F4F2B"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8C18E8" w:rsidRDefault="008C18E8" w:rsidP="000F4F2B">
      <w:pPr>
        <w:autoSpaceDE w:val="0"/>
        <w:autoSpaceDN w:val="0"/>
        <w:adjustRightInd w:val="0"/>
        <w:spacing w:after="0" w:line="240" w:lineRule="auto"/>
        <w:jc w:val="both"/>
        <w:rPr>
          <w:rFonts w:cs="Times New Roman"/>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lastRenderedPageBreak/>
        <w:t>Several recycle streams are included in the Effluent Treatment Plant design for returning out of specification material for further treatment. These are expected to be: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Treated Effluent Tank to Buffer Tanks, </w:t>
      </w:r>
    </w:p>
    <w:p w:rsidR="000F4F2B" w:rsidRPr="000F4F2B" w:rsidRDefault="000F4F2B" w:rsidP="000F4F2B">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 xml:space="preserve">Recycle from Anaerobic Feed Tanks to Buffer Tanks, and </w:t>
      </w:r>
    </w:p>
    <w:p w:rsidR="000F4F2B" w:rsidRDefault="000F4F2B" w:rsidP="000A52C9">
      <w:pPr>
        <w:pStyle w:val="ListParagraph"/>
        <w:numPr>
          <w:ilvl w:val="0"/>
          <w:numId w:val="22"/>
        </w:numPr>
        <w:autoSpaceDE w:val="0"/>
        <w:autoSpaceDN w:val="0"/>
        <w:adjustRightInd w:val="0"/>
        <w:spacing w:after="0" w:line="240" w:lineRule="auto"/>
        <w:jc w:val="both"/>
        <w:rPr>
          <w:rFonts w:cs="Times New Roman"/>
        </w:rPr>
      </w:pPr>
      <w:r w:rsidRPr="000F4F2B">
        <w:rPr>
          <w:rFonts w:cs="Times New Roman"/>
        </w:rPr>
        <w:t>Recycle from Anaerobic Collection Pit to Buffer Tanks</w:t>
      </w:r>
    </w:p>
    <w:p w:rsidR="008C18E8" w:rsidRPr="000A52C9" w:rsidRDefault="008C18E8" w:rsidP="008C18E8">
      <w:pPr>
        <w:pStyle w:val="ListParagraph"/>
        <w:autoSpaceDE w:val="0"/>
        <w:autoSpaceDN w:val="0"/>
        <w:adjustRightInd w:val="0"/>
        <w:spacing w:after="0" w:line="240" w:lineRule="auto"/>
        <w:ind w:left="420"/>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DF6524"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94351A">
      <w:pPr>
        <w:spacing w:line="240" w:lineRule="auto"/>
        <w:rPr>
          <w:rFonts w:cs="Times New Roman"/>
          <w:sz w:val="36"/>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Default="0094351A" w:rsidP="0094351A">
      <w:pPr>
        <w:spacing w:line="240" w:lineRule="auto"/>
        <w:jc w:val="center"/>
        <w:rPr>
          <w:rFonts w:cs="Times New Roman"/>
          <w:sz w:val="40"/>
          <w:szCs w:val="24"/>
        </w:rPr>
      </w:pPr>
    </w:p>
    <w:p w:rsidR="0094351A" w:rsidRPr="0094351A" w:rsidRDefault="0094351A" w:rsidP="0094351A">
      <w:pPr>
        <w:spacing w:line="240" w:lineRule="auto"/>
        <w:jc w:val="center"/>
        <w:rPr>
          <w:rFonts w:cs="Times New Roman"/>
          <w:b/>
          <w:sz w:val="44"/>
          <w:szCs w:val="24"/>
        </w:rPr>
      </w:pPr>
      <w:r w:rsidRPr="0094351A">
        <w:rPr>
          <w:rFonts w:cs="Times New Roman"/>
          <w:b/>
          <w:sz w:val="44"/>
          <w:szCs w:val="24"/>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 xml:space="preserve">Study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proofErr w:type="spellStart"/>
      <w:r w:rsidRPr="006E3035">
        <w:rPr>
          <w:rFonts w:cs="Calibri"/>
        </w:rPr>
        <w:t>centre</w:t>
      </w:r>
      <w:proofErr w:type="spellEnd"/>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behaviour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azeotropic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azeotropic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entrainer with one of the components of the homogeneous azeotrope, or a ternary azeotrope involving the original components of the homogeneous azeotrope plus the entrainer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 entraining agent may be introduced with the feed or may be stored in the decanter at the top of the azeotropic tower. The overheads vapour composition will be close to the azeotrope. Reflux to the tower may be either one or both liquid phases depending on the ease of the separation. It is important to control the degree of penetration of the entrainer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entrainers are used to generate a low boiling, binary, heterogeneous azeotrope of the water and the entrainer.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There are a number of possible candidates for the choice of entrainer to assist in the separation of water and acetic acid. One of the constraints is to use an entrainer that is compatible with the background process. In the case of terephthalic acid production, alkyl esters of acetic acid are the most suitable choice. Normal propyl acetate, iso-butyl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The patented azeotropic distillation process used by Invista in recovering water from water/acetic acid mixtures uses normal propyl acetate (nPA) as the entrainer. The process operates with a single nPA-rich phase being refluxed to the dehydration tower (normally a packed unit). Use of nPA minimizes the height of the tower compared to iso-butyl acetate (iBA) or normal butyl acetate (</w:t>
      </w:r>
      <w:proofErr w:type="gramStart"/>
      <w:r w:rsidRPr="006E3035">
        <w:rPr>
          <w:rFonts w:cs="Calibri"/>
        </w:rPr>
        <w:t>nBA</w:t>
      </w:r>
      <w:proofErr w:type="gramEnd"/>
      <w:r w:rsidRPr="006E3035">
        <w:rPr>
          <w:rFonts w:cs="Calibri"/>
        </w:rPr>
        <w:t>) systems for the same feed composition. The main water feed to the tower is condensate derived from the overheads from the oxidation reaction. This is typically 20 - 30% w/w water. With iBA or nBA, the aqueous phase would also have to be refluxed to obtain separation of the water from the acetic acid and to recover the entrainer. Hence the choice of nPA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Azeotropic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9F2399" w:rsidRPr="008153AB" w:rsidRDefault="00F505B7" w:rsidP="00F505B7">
      <w:pPr>
        <w:autoSpaceDE w:val="0"/>
        <w:autoSpaceDN w:val="0"/>
        <w:adjustRightInd w:val="0"/>
        <w:spacing w:after="0" w:line="240" w:lineRule="auto"/>
        <w:jc w:val="center"/>
        <w:rPr>
          <w:rFonts w:ascii="Arial Black" w:hAnsi="Arial Black" w:cs="Calibri,Bold"/>
          <w:b/>
          <w:bCs/>
          <w:sz w:val="26"/>
          <w:szCs w:val="26"/>
        </w:rPr>
      </w:pPr>
      <w:r w:rsidRPr="008153AB">
        <w:rPr>
          <w:rFonts w:ascii="Arial Black" w:hAnsi="Arial Black" w:cs="Calibri,Bold"/>
          <w:b/>
          <w:bCs/>
          <w:sz w:val="26"/>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azeotropic unit using normal propyl acetate (nPA) as an entrainer to redu</w:t>
      </w:r>
      <w:r w:rsidR="00CC2274">
        <w:rPr>
          <w:rFonts w:ascii="Calibri" w:hAnsi="Calibri" w:cs="Calibri"/>
        </w:rPr>
        <w:t xml:space="preserve">ce the energy </w:t>
      </w:r>
      <w:r>
        <w:rPr>
          <w:rFonts w:ascii="Calibri" w:hAnsi="Calibri" w:cs="Calibri"/>
        </w:rPr>
        <w:t>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the Entrainer Storage Tank F5-609 via the Reflux Pumps G5-615A/B.</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Stripper D5-511</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from the Second Crystalliser D5-402</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Crystalliser Vent Separator F5-432</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Purge Column D5-651</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Flash vapours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72985B9F" wp14:editId="59FFCFA2">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(Mellaplus</w:t>
      </w:r>
      <w:bookmarkStart w:id="2" w:name="_GoBack"/>
      <w:bookmarkEnd w:id="2"/>
      <w:r w:rsidRPr="00A0358B">
        <w:rPr>
          <w:rFonts w:cs="Calibri"/>
        </w:rPr>
        <w:t xml:space="preserve">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entrainer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proofErr w:type="spellStart"/>
      <w:r w:rsidRPr="00A0358B">
        <w:rPr>
          <w:rFonts w:cs="Calibri"/>
        </w:rPr>
        <w:t>Manway</w:t>
      </w:r>
      <w:proofErr w:type="spellEnd"/>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middle section, Zone B is packed with one bed (Bed 2) of structured packing (Mellaplus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proofErr w:type="spellStart"/>
      <w:r w:rsidRPr="00A0358B">
        <w:rPr>
          <w:rFonts w:cs="Calibri"/>
        </w:rPr>
        <w:t>Paraxylene</w:t>
      </w:r>
      <w:proofErr w:type="spellEnd"/>
      <w:r w:rsidRPr="00A0358B">
        <w:rPr>
          <w:rFonts w:cs="Calibri"/>
        </w:rPr>
        <w:t xml:space="preserve"> purge to D5-651</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proofErr w:type="spellStart"/>
      <w:r w:rsidRPr="00A0358B">
        <w:rPr>
          <w:rFonts w:cs="Calibri"/>
        </w:rPr>
        <w:t>Manway</w:t>
      </w:r>
      <w:proofErr w:type="spellEnd"/>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bed itself is provided with six equally spaced branches for duplex type thermowells/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bottom section, Zone C is packed with one bed (Bed 3) of structured packing (Mellaplus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proofErr w:type="spellStart"/>
      <w:r w:rsidRPr="00A0358B">
        <w:rPr>
          <w:rFonts w:cs="Calibri"/>
        </w:rPr>
        <w:t>Manway</w:t>
      </w:r>
      <w:proofErr w:type="spellEnd"/>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proofErr w:type="spellStart"/>
      <w:r w:rsidRPr="00A0358B">
        <w:rPr>
          <w:rFonts w:cs="Calibri"/>
        </w:rPr>
        <w:t>Manway</w:t>
      </w:r>
      <w:proofErr w:type="spellEnd"/>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sectPr w:rsidR="00F505B7" w:rsidSect="000F4F2B">
      <w:headerReference w:type="default" r:id="rId39"/>
      <w:footerReference w:type="default" r:id="rId4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2B7" w:rsidRDefault="00BC02B7" w:rsidP="00A42719">
      <w:pPr>
        <w:spacing w:after="0" w:line="240" w:lineRule="auto"/>
      </w:pPr>
      <w:r>
        <w:separator/>
      </w:r>
    </w:p>
  </w:endnote>
  <w:endnote w:type="continuationSeparator" w:id="0">
    <w:p w:rsidR="00BC02B7" w:rsidRDefault="00BC02B7"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2399" w:rsidRDefault="009F2399" w:rsidP="0044331C">
    <w:pPr>
      <w:pStyle w:val="Footer"/>
      <w:jc w:val="right"/>
    </w:pPr>
    <w:r>
      <w:rPr>
        <w:noProof/>
      </w:rPr>
      <w:drawing>
        <wp:inline distT="0" distB="0" distL="0" distR="0" wp14:anchorId="19DA2F91" wp14:editId="625F7B4E">
          <wp:extent cx="1164566" cy="34037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ance-industries-log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283" cy="34789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2B7" w:rsidRDefault="00BC02B7" w:rsidP="00A42719">
      <w:pPr>
        <w:spacing w:after="0" w:line="240" w:lineRule="auto"/>
      </w:pPr>
      <w:r>
        <w:separator/>
      </w:r>
    </w:p>
  </w:footnote>
  <w:footnote w:type="continuationSeparator" w:id="0">
    <w:p w:rsidR="00BC02B7" w:rsidRDefault="00BC02B7"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0669"/>
      <w:docPartObj>
        <w:docPartGallery w:val="Page Numbers (Top of Page)"/>
        <w:docPartUnique/>
      </w:docPartObj>
    </w:sdtPr>
    <w:sdtEndPr>
      <w:rPr>
        <w:color w:val="808080" w:themeColor="background1" w:themeShade="80"/>
        <w:spacing w:val="60"/>
      </w:rPr>
    </w:sdtEndPr>
    <w:sdtContent>
      <w:p w:rsidR="009F2399" w:rsidRDefault="009F239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B113C" w:rsidRPr="005B113C">
          <w:rPr>
            <w:b/>
            <w:bCs/>
            <w:noProof/>
          </w:rPr>
          <w:t>31</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w:t>
        </w:r>
        <w:r w:rsidR="008E2339">
          <w:rPr>
            <w:color w:val="808080" w:themeColor="background1" w:themeShade="80"/>
            <w:spacing w:val="60"/>
          </w:rPr>
          <w:t xml:space="preserve">      </w:t>
        </w:r>
        <w:r w:rsidR="00BC54D5">
          <w:rPr>
            <w:color w:val="808080" w:themeColor="background1" w:themeShade="80"/>
            <w:spacing w:val="60"/>
          </w:rPr>
          <w:t xml:space="preserve">    </w:t>
        </w:r>
        <w:r w:rsidR="008E2339">
          <w:rPr>
            <w:color w:val="808080" w:themeColor="background1" w:themeShade="80"/>
            <w:spacing w:val="60"/>
          </w:rPr>
          <w:t xml:space="preserve"> In-Plant Training Report </w:t>
        </w:r>
      </w:p>
    </w:sdtContent>
  </w:sdt>
  <w:p w:rsidR="009F2399" w:rsidRDefault="009F2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2">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
  </w:num>
  <w:num w:numId="4">
    <w:abstractNumId w:val="15"/>
  </w:num>
  <w:num w:numId="5">
    <w:abstractNumId w:val="3"/>
  </w:num>
  <w:num w:numId="6">
    <w:abstractNumId w:val="7"/>
  </w:num>
  <w:num w:numId="7">
    <w:abstractNumId w:val="21"/>
  </w:num>
  <w:num w:numId="8">
    <w:abstractNumId w:val="24"/>
  </w:num>
  <w:num w:numId="9">
    <w:abstractNumId w:val="19"/>
  </w:num>
  <w:num w:numId="10">
    <w:abstractNumId w:val="8"/>
  </w:num>
  <w:num w:numId="11">
    <w:abstractNumId w:val="0"/>
  </w:num>
  <w:num w:numId="12">
    <w:abstractNumId w:val="14"/>
  </w:num>
  <w:num w:numId="13">
    <w:abstractNumId w:val="9"/>
  </w:num>
  <w:num w:numId="14">
    <w:abstractNumId w:val="2"/>
  </w:num>
  <w:num w:numId="15">
    <w:abstractNumId w:val="20"/>
  </w:num>
  <w:num w:numId="16">
    <w:abstractNumId w:val="25"/>
  </w:num>
  <w:num w:numId="17">
    <w:abstractNumId w:val="5"/>
  </w:num>
  <w:num w:numId="18">
    <w:abstractNumId w:val="22"/>
  </w:num>
  <w:num w:numId="19">
    <w:abstractNumId w:val="17"/>
  </w:num>
  <w:num w:numId="20">
    <w:abstractNumId w:val="11"/>
    <w:lvlOverride w:ilvl="0">
      <w:startOverride w:val="1"/>
    </w:lvlOverride>
    <w:lvlOverride w:ilvl="1"/>
    <w:lvlOverride w:ilvl="2"/>
    <w:lvlOverride w:ilvl="3"/>
    <w:lvlOverride w:ilvl="4"/>
    <w:lvlOverride w:ilvl="5"/>
    <w:lvlOverride w:ilvl="6"/>
    <w:lvlOverride w:ilvl="7"/>
    <w:lvlOverride w:ilvl="8"/>
  </w:num>
  <w:num w:numId="21">
    <w:abstractNumId w:val="13"/>
  </w:num>
  <w:num w:numId="22">
    <w:abstractNumId w:val="4"/>
  </w:num>
  <w:num w:numId="23">
    <w:abstractNumId w:val="23"/>
  </w:num>
  <w:num w:numId="24">
    <w:abstractNumId w:val="6"/>
  </w:num>
  <w:num w:numId="25">
    <w:abstractNumId w:val="10"/>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137E6"/>
    <w:rsid w:val="00041F1B"/>
    <w:rsid w:val="00053B30"/>
    <w:rsid w:val="000A1F40"/>
    <w:rsid w:val="000A4365"/>
    <w:rsid w:val="000A52C9"/>
    <w:rsid w:val="000D10E5"/>
    <w:rsid w:val="000F4F2B"/>
    <w:rsid w:val="00100893"/>
    <w:rsid w:val="00102288"/>
    <w:rsid w:val="00147957"/>
    <w:rsid w:val="00156DE7"/>
    <w:rsid w:val="00162C7E"/>
    <w:rsid w:val="001A50D8"/>
    <w:rsid w:val="001A67F2"/>
    <w:rsid w:val="001C63CA"/>
    <w:rsid w:val="0020113B"/>
    <w:rsid w:val="00214167"/>
    <w:rsid w:val="002177F1"/>
    <w:rsid w:val="002478AD"/>
    <w:rsid w:val="00254A63"/>
    <w:rsid w:val="002619A8"/>
    <w:rsid w:val="00267E3D"/>
    <w:rsid w:val="00281B69"/>
    <w:rsid w:val="002860BF"/>
    <w:rsid w:val="00287CF4"/>
    <w:rsid w:val="002934E0"/>
    <w:rsid w:val="002B0836"/>
    <w:rsid w:val="002B7C79"/>
    <w:rsid w:val="002F33FD"/>
    <w:rsid w:val="00302ED6"/>
    <w:rsid w:val="00312101"/>
    <w:rsid w:val="00342DD5"/>
    <w:rsid w:val="00355BE1"/>
    <w:rsid w:val="003A7A31"/>
    <w:rsid w:val="003B3E1C"/>
    <w:rsid w:val="003C3612"/>
    <w:rsid w:val="003C5E01"/>
    <w:rsid w:val="003C755F"/>
    <w:rsid w:val="003F5DB8"/>
    <w:rsid w:val="004303C5"/>
    <w:rsid w:val="0044331C"/>
    <w:rsid w:val="00443643"/>
    <w:rsid w:val="00454A46"/>
    <w:rsid w:val="004644CE"/>
    <w:rsid w:val="00464F55"/>
    <w:rsid w:val="004A145C"/>
    <w:rsid w:val="004D45B3"/>
    <w:rsid w:val="004E3A6D"/>
    <w:rsid w:val="004F0A95"/>
    <w:rsid w:val="004F2786"/>
    <w:rsid w:val="00502C17"/>
    <w:rsid w:val="00543CBE"/>
    <w:rsid w:val="00545482"/>
    <w:rsid w:val="00554A94"/>
    <w:rsid w:val="00582B9B"/>
    <w:rsid w:val="00596104"/>
    <w:rsid w:val="005B113C"/>
    <w:rsid w:val="005B19C1"/>
    <w:rsid w:val="005C7CF7"/>
    <w:rsid w:val="005C7E52"/>
    <w:rsid w:val="005F7455"/>
    <w:rsid w:val="00611F9A"/>
    <w:rsid w:val="00613682"/>
    <w:rsid w:val="00654840"/>
    <w:rsid w:val="00671521"/>
    <w:rsid w:val="00680CBC"/>
    <w:rsid w:val="006A494E"/>
    <w:rsid w:val="006B1162"/>
    <w:rsid w:val="006B5C0A"/>
    <w:rsid w:val="006B78F2"/>
    <w:rsid w:val="006E3035"/>
    <w:rsid w:val="00732684"/>
    <w:rsid w:val="00737E67"/>
    <w:rsid w:val="00742D7E"/>
    <w:rsid w:val="00780602"/>
    <w:rsid w:val="007A0311"/>
    <w:rsid w:val="007A43FA"/>
    <w:rsid w:val="007D4563"/>
    <w:rsid w:val="008004EA"/>
    <w:rsid w:val="008153AB"/>
    <w:rsid w:val="008455B5"/>
    <w:rsid w:val="008A2D4B"/>
    <w:rsid w:val="008C18E8"/>
    <w:rsid w:val="008E2339"/>
    <w:rsid w:val="008F75C9"/>
    <w:rsid w:val="0094351A"/>
    <w:rsid w:val="00951A92"/>
    <w:rsid w:val="00964C3E"/>
    <w:rsid w:val="00972D33"/>
    <w:rsid w:val="009F2399"/>
    <w:rsid w:val="00A0358B"/>
    <w:rsid w:val="00A122C8"/>
    <w:rsid w:val="00A15A9A"/>
    <w:rsid w:val="00A42719"/>
    <w:rsid w:val="00A7549F"/>
    <w:rsid w:val="00A816DE"/>
    <w:rsid w:val="00A9365C"/>
    <w:rsid w:val="00AC15D1"/>
    <w:rsid w:val="00AD69A8"/>
    <w:rsid w:val="00AE7264"/>
    <w:rsid w:val="00AF5C7C"/>
    <w:rsid w:val="00B20D39"/>
    <w:rsid w:val="00B72BF5"/>
    <w:rsid w:val="00B926AA"/>
    <w:rsid w:val="00B94F29"/>
    <w:rsid w:val="00BA7E40"/>
    <w:rsid w:val="00BC02B7"/>
    <w:rsid w:val="00BC54D5"/>
    <w:rsid w:val="00BE255C"/>
    <w:rsid w:val="00BE5186"/>
    <w:rsid w:val="00BE6381"/>
    <w:rsid w:val="00BE7837"/>
    <w:rsid w:val="00BE7FFE"/>
    <w:rsid w:val="00BF48FD"/>
    <w:rsid w:val="00C22F6A"/>
    <w:rsid w:val="00C37E91"/>
    <w:rsid w:val="00CB2E8B"/>
    <w:rsid w:val="00CC2274"/>
    <w:rsid w:val="00CD51A1"/>
    <w:rsid w:val="00D0367A"/>
    <w:rsid w:val="00D27A38"/>
    <w:rsid w:val="00D60447"/>
    <w:rsid w:val="00DC35B9"/>
    <w:rsid w:val="00DC5163"/>
    <w:rsid w:val="00DF6524"/>
    <w:rsid w:val="00E278F0"/>
    <w:rsid w:val="00E83E1F"/>
    <w:rsid w:val="00E94EFF"/>
    <w:rsid w:val="00EA3100"/>
    <w:rsid w:val="00EB6930"/>
    <w:rsid w:val="00EF522C"/>
    <w:rsid w:val="00F2563C"/>
    <w:rsid w:val="00F505B7"/>
    <w:rsid w:val="00F701E4"/>
    <w:rsid w:val="00F74FAF"/>
    <w:rsid w:val="00F9612B"/>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DC51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roda" TargetMode="External"/><Relationship Id="rId18" Type="http://schemas.openxmlformats.org/officeDocument/2006/relationships/hyperlink" Target="https://en.wikipedia.org/wiki/Gujarat" TargetMode="External"/><Relationship Id="rId26" Type="http://schemas.openxmlformats.org/officeDocument/2006/relationships/image" Target="media/image2.emf"/><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Relicord"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Synthetic_fiber" TargetMode="External"/><Relationship Id="rId17" Type="http://schemas.openxmlformats.org/officeDocument/2006/relationships/hyperlink" Target="https://en.wikipedia.org/wiki/Jamnagar_Refinery" TargetMode="External"/><Relationship Id="rId25" Type="http://schemas.openxmlformats.org/officeDocument/2006/relationships/image" Target="media/image1.emf"/><Relationship Id="rId33" Type="http://schemas.openxmlformats.org/officeDocument/2006/relationships/image" Target="media/image9.png"/><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en.wikipedia.org/wiki/Yarn" TargetMode="External"/><Relationship Id="rId20" Type="http://schemas.openxmlformats.org/officeDocument/2006/relationships/hyperlink" Target="https://en.wikipedia.org/wiki/Reliance_Institute_of_Life_Science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ester" TargetMode="External"/><Relationship Id="rId24" Type="http://schemas.openxmlformats.org/officeDocument/2006/relationships/hyperlink" Target="https://en.wikipedia.org/wiki/LYF" TargetMode="External"/><Relationship Id="rId32" Type="http://schemas.openxmlformats.org/officeDocument/2006/relationships/image" Target="media/image8.png"/><Relationship Id="rId37" Type="http://schemas.openxmlformats.org/officeDocument/2006/relationships/image" Target="media/image13.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Polyester" TargetMode="External"/><Relationship Id="rId23" Type="http://schemas.openxmlformats.org/officeDocument/2006/relationships/hyperlink" Target="https://en.wikipedia.org/wiki/Reliance_Industrial_Infrastructure" TargetMode="External"/><Relationship Id="rId28" Type="http://schemas.openxmlformats.org/officeDocument/2006/relationships/image" Target="media/image4.png"/><Relationship Id="rId36" Type="http://schemas.openxmlformats.org/officeDocument/2006/relationships/image" Target="media/image12.emf"/><Relationship Id="rId10" Type="http://schemas.openxmlformats.org/officeDocument/2006/relationships/hyperlink" Target="https://en.wikipedia.org/wiki/Platts" TargetMode="External"/><Relationship Id="rId19" Type="http://schemas.openxmlformats.org/officeDocument/2006/relationships/hyperlink" Target="https://en.wikipedia.org/wiki/Reliance_Retail" TargetMode="External"/><Relationship Id="rId31"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hyperlink" Target="https://en.wikipedia.org/wiki/Fortune_Global_500"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Reliance_Jio_Infocomm_Limited_(RJIL)" TargetMode="External"/><Relationship Id="rId27" Type="http://schemas.openxmlformats.org/officeDocument/2006/relationships/image" Target="media/image3.emf"/><Relationship Id="rId30" Type="http://schemas.openxmlformats.org/officeDocument/2006/relationships/image" Target="media/image6.png"/><Relationship Id="rId35" Type="http://schemas.openxmlformats.org/officeDocument/2006/relationships/image" Target="media/image11.gif"/></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CB56A-D540-4B51-9851-D69F2F76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31</Pages>
  <Words>7977</Words>
  <Characters>45470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53341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Suraj Iyer</cp:lastModifiedBy>
  <cp:revision>26</cp:revision>
  <cp:lastPrinted>2016-06-16T06:27:00Z</cp:lastPrinted>
  <dcterms:created xsi:type="dcterms:W3CDTF">2016-06-16T08:21:00Z</dcterms:created>
  <dcterms:modified xsi:type="dcterms:W3CDTF">2016-06-17T03:59:00Z</dcterms:modified>
</cp:coreProperties>
</file>