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ETL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rHeight w:val="2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mc:AlternateContent>
                <mc:Choice Requires="wpg">
                  <w:drawing>
                    <wp:inline distB="114300" distT="114300" distL="114300" distR="114300">
                      <wp:extent cx="5381625" cy="4055844"/>
                      <wp:effectExtent b="0" l="0" r="0" t="0"/>
                      <wp:docPr id="1" name=""/>
                      <a:graphic>
                        <a:graphicData uri="http://schemas.microsoft.com/office/word/2010/wordprocessingGroup">
                          <wpg:wgp>
                            <wpg:cNvGrpSpPr/>
                            <wpg:grpSpPr>
                              <a:xfrm>
                                <a:off x="303900" y="607750"/>
                                <a:ext cx="5381625" cy="4055844"/>
                                <a:chOff x="303900" y="607750"/>
                                <a:chExt cx="5861975" cy="4411225"/>
                              </a:xfrm>
                            </wpg:grpSpPr>
                            <wps:wsp>
                              <wps:cNvSpPr/>
                              <wps:cNvPr id="2" name="Shape 2"/>
                              <wps:spPr>
                                <a:xfrm>
                                  <a:off x="303900" y="607750"/>
                                  <a:ext cx="696000" cy="9802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DB 1</w:t>
                                    </w:r>
                                  </w:p>
                                </w:txbxContent>
                              </wps:txbx>
                              <wps:bodyPr anchorCtr="0" anchor="ctr" bIns="91425" lIns="91425" spcFirstLastPara="1" rIns="91425" wrap="square" tIns="91425">
                                <a:noAutofit/>
                              </wps:bodyPr>
                            </wps:wsp>
                            <wps:wsp>
                              <wps:cNvSpPr/>
                              <wps:cNvPr id="3" name="Shape 3"/>
                              <wps:spPr>
                                <a:xfrm>
                                  <a:off x="303900" y="2063900"/>
                                  <a:ext cx="696000" cy="9802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DB 2</w:t>
                                    </w:r>
                                  </w:p>
                                </w:txbxContent>
                              </wps:txbx>
                              <wps:bodyPr anchorCtr="0" anchor="ctr" bIns="91425" lIns="91425" spcFirstLastPara="1" rIns="91425" wrap="square" tIns="91425">
                                <a:noAutofit/>
                              </wps:bodyPr>
                            </wps:wsp>
                            <wps:wsp>
                              <wps:cNvSpPr/>
                              <wps:cNvPr id="4" name="Shape 4"/>
                              <wps:spPr>
                                <a:xfrm>
                                  <a:off x="882250" y="1821000"/>
                                  <a:ext cx="519600" cy="99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490024" y="1244950"/>
                                  <a:ext cx="813618" cy="1215540"/>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Lamda function</w:t>
                                    </w:r>
                                  </w:p>
                                </w:txbxContent>
                              </wps:txbx>
                              <wps:bodyPr anchorCtr="0" anchor="ctr" bIns="91425" lIns="91425" spcFirstLastPara="1" rIns="91425" wrap="square" tIns="91425">
                                <a:noAutofit/>
                              </wps:bodyPr>
                            </wps:wsp>
                            <wps:wsp>
                              <wps:cNvSpPr/>
                              <wps:cNvPr id="6" name="Shape 6"/>
                              <wps:spPr>
                                <a:xfrm>
                                  <a:off x="2391875" y="1735000"/>
                                  <a:ext cx="225600" cy="99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793775" y="1078300"/>
                                  <a:ext cx="1254900" cy="1323300"/>
                                </a:xfrm>
                                <a:prstGeom prst="plaque">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AWS Pipeline/AWS GLUE</w:t>
                                    </w:r>
                                  </w:p>
                                </w:txbxContent>
                              </wps:txbx>
                              <wps:bodyPr anchorCtr="0" anchor="ctr" bIns="91425" lIns="91425" spcFirstLastPara="1" rIns="91425" wrap="square" tIns="91425">
                                <a:noAutofit/>
                              </wps:bodyPr>
                            </wps:wsp>
                            <wps:wsp>
                              <wps:cNvSpPr/>
                              <wps:cNvPr id="8" name="Shape 8"/>
                              <wps:spPr>
                                <a:xfrm>
                                  <a:off x="4930775" y="1097900"/>
                                  <a:ext cx="1235100" cy="14313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S3 Storage/Aws Redshift</w:t>
                                    </w:r>
                                  </w:p>
                                </w:txbxContent>
                              </wps:txbx>
                              <wps:bodyPr anchorCtr="0" anchor="ctr" bIns="91425" lIns="91425" spcFirstLastPara="1" rIns="91425" wrap="square" tIns="91425">
                                <a:noAutofit/>
                              </wps:bodyPr>
                            </wps:wsp>
                            <wps:wsp>
                              <wps:cNvSpPr/>
                              <wps:cNvPr id="9" name="Shape 9"/>
                              <wps:spPr>
                                <a:xfrm>
                                  <a:off x="4205475" y="1735000"/>
                                  <a:ext cx="568500" cy="99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783975" y="3450575"/>
                                  <a:ext cx="1519500" cy="15684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AWS CLOUD     WATCH</w:t>
                                    </w:r>
                                  </w:p>
                                </w:txbxContent>
                              </wps:txbx>
                              <wps:bodyPr anchorCtr="0" anchor="ctr" bIns="91425" lIns="91425" spcFirstLastPara="1" rIns="91425" wrap="square" tIns="91425">
                                <a:noAutofit/>
                              </wps:bodyPr>
                            </wps:wsp>
                            <wps:wsp>
                              <wps:cNvCnPr/>
                              <wps:spPr>
                                <a:xfrm flipH="1">
                                  <a:off x="1882133" y="2380129"/>
                                  <a:ext cx="14700" cy="150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921350" y="3862175"/>
                                  <a:ext cx="725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81625" cy="405584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381625" cy="40558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have chose AWS cloud as tool in order to design ETL for given task as it more reliable , cost effective , high availability, much efficient.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DESCRIPTION:-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0"/>
          <w:szCs w:val="20"/>
          <w:rtl w:val="0"/>
        </w:rPr>
        <w:t xml:space="preserve">AWS Lamda function service</w:t>
      </w:r>
      <w:r w:rsidDel="00000000" w:rsidR="00000000" w:rsidRPr="00000000">
        <w:rPr>
          <w:rFonts w:ascii="Comic Sans MS" w:cs="Comic Sans MS" w:eastAsia="Comic Sans MS" w:hAnsi="Comic Sans MS"/>
          <w:sz w:val="20"/>
          <w:szCs w:val="20"/>
          <w:rtl w:val="0"/>
        </w:rPr>
        <w:t xml:space="preserve"> - in order to trigger the job as we can r</w:t>
      </w:r>
      <w:r w:rsidDel="00000000" w:rsidR="00000000" w:rsidRPr="00000000">
        <w:rPr>
          <w:rFonts w:ascii="Comic Sans MS" w:cs="Comic Sans MS" w:eastAsia="Comic Sans MS" w:hAnsi="Comic Sans MS"/>
          <w:sz w:val="20"/>
          <w:szCs w:val="20"/>
          <w:rtl w:val="0"/>
        </w:rPr>
        <w:t xml:space="preserve">un code without provisioning or managing infrastructure  as it is servless service. Automatically respond to code execution requests at any scale, from a dozen .Save costs by paying only for the compute time you use. Most importantly it supports any language script to trigger the job.</w:t>
      </w:r>
    </w:p>
    <w:p w:rsidR="00000000" w:rsidDel="00000000" w:rsidP="00000000" w:rsidRDefault="00000000" w:rsidRPr="00000000" w14:paraId="00000017">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omic Sans MS" w:cs="Comic Sans MS" w:eastAsia="Comic Sans MS" w:hAnsi="Comic Sans MS"/>
          <w:sz w:val="20"/>
          <w:szCs w:val="20"/>
          <w:u w:val="none"/>
        </w:rPr>
      </w:pPr>
      <w:r w:rsidDel="00000000" w:rsidR="00000000" w:rsidRPr="00000000">
        <w:rPr>
          <w:rFonts w:ascii="Comic Sans MS" w:cs="Comic Sans MS" w:eastAsia="Comic Sans MS" w:hAnsi="Comic Sans MS"/>
          <w:b w:val="1"/>
          <w:sz w:val="20"/>
          <w:szCs w:val="20"/>
          <w:rtl w:val="0"/>
        </w:rPr>
        <w:t xml:space="preserve">AWS Pipeline- </w:t>
      </w:r>
      <w:r w:rsidDel="00000000" w:rsidR="00000000" w:rsidRPr="00000000">
        <w:rPr>
          <w:rFonts w:ascii="Comic Sans MS" w:cs="Comic Sans MS" w:eastAsia="Comic Sans MS" w:hAnsi="Comic Sans MS"/>
          <w:color w:val="333333"/>
          <w:sz w:val="21"/>
          <w:szCs w:val="21"/>
          <w:highlight w:val="white"/>
          <w:rtl w:val="0"/>
        </w:rPr>
        <w:t xml:space="preserve"> is built on a distributed, highly available infrastructure designed for fault tolerant execution of your activities. If failures occur in your activity logic or data sources, AWS Data Pipeline automatically retries the activity. If the failure persists, AWS Data Pipeline sends you failure notifications via Amazon SNS. Creating a pipeline is quick and easy via our drag-and-drop console. Common preconditions are built into the service, so you don’t need to write any extra logic to use them. </w:t>
      </w:r>
      <w:r w:rsidDel="00000000" w:rsidR="00000000" w:rsidRPr="00000000">
        <w:rPr>
          <w:rFonts w:ascii="Comic Sans MS" w:cs="Comic Sans MS" w:eastAsia="Comic Sans MS" w:hAnsi="Comic Sans MS"/>
          <w:color w:val="333333"/>
          <w:sz w:val="20"/>
          <w:szCs w:val="20"/>
          <w:highlight w:val="white"/>
          <w:rtl w:val="0"/>
        </w:rPr>
        <w:t xml:space="preserve">It provide us the Template which make our task much easier.</w:t>
      </w:r>
      <w:r w:rsidDel="00000000" w:rsidR="00000000" w:rsidRPr="00000000">
        <w:rPr>
          <w:color w:val="333333"/>
          <w:sz w:val="20"/>
          <w:szCs w:val="20"/>
          <w:highlight w:val="white"/>
          <w:rtl w:val="0"/>
        </w:rPr>
        <w:t xml:space="preserve">AWS </w:t>
      </w:r>
      <w:r w:rsidDel="00000000" w:rsidR="00000000" w:rsidRPr="00000000">
        <w:rPr>
          <w:rFonts w:ascii="Comic Sans MS" w:cs="Comic Sans MS" w:eastAsia="Comic Sans MS" w:hAnsi="Comic Sans MS"/>
          <w:color w:val="333333"/>
          <w:sz w:val="20"/>
          <w:szCs w:val="20"/>
          <w:highlight w:val="white"/>
          <w:rtl w:val="0"/>
        </w:rPr>
        <w:t xml:space="preserve">Data Pipeline allows you to take advantage of a variety of features such as scheduling, dependency tracking, and error handling. You can configure AWS Data Pipeline to take actions like run Amazon EMR jobs, execute SQL queries directly against databases, or execute custom applications running on Amazon EC2 or in your own datacenter</w:t>
      </w:r>
      <w:r w:rsidDel="00000000" w:rsidR="00000000" w:rsidRPr="00000000">
        <w:rPr>
          <w:color w:val="333333"/>
          <w:sz w:val="20"/>
          <w:szCs w:val="20"/>
          <w:highlight w:val="white"/>
          <w:rtl w:val="0"/>
        </w:rPr>
        <w:t xml:space="preserve">.</w:t>
      </w:r>
    </w:p>
    <w:p w:rsidR="00000000" w:rsidDel="00000000" w:rsidP="00000000" w:rsidRDefault="00000000" w:rsidRPr="00000000" w14:paraId="0000001A">
      <w:pPr>
        <w:rPr>
          <w:color w:val="333333"/>
          <w:sz w:val="20"/>
          <w:szCs w:val="20"/>
          <w:highlight w:val="white"/>
        </w:rPr>
      </w:pPr>
      <w:r w:rsidDel="00000000" w:rsidR="00000000" w:rsidRPr="00000000">
        <w:rPr>
          <w:rtl w:val="0"/>
        </w:rPr>
      </w:r>
    </w:p>
    <w:p w:rsidR="00000000" w:rsidDel="00000000" w:rsidP="00000000" w:rsidRDefault="00000000" w:rsidRPr="00000000" w14:paraId="0000001B">
      <w:pPr>
        <w:rPr>
          <w:color w:val="333333"/>
          <w:sz w:val="20"/>
          <w:szCs w:val="20"/>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color w:val="333333"/>
          <w:sz w:val="20"/>
          <w:szCs w:val="20"/>
          <w:highlight w:val="white"/>
          <w:u w:val="none"/>
        </w:rPr>
      </w:pPr>
      <w:r w:rsidDel="00000000" w:rsidR="00000000" w:rsidRPr="00000000">
        <w:rPr>
          <w:b w:val="1"/>
          <w:color w:val="333333"/>
          <w:sz w:val="20"/>
          <w:szCs w:val="20"/>
          <w:highlight w:val="white"/>
          <w:rtl w:val="0"/>
        </w:rPr>
        <w:t xml:space="preserve">AWS GLUE-</w:t>
      </w:r>
      <w:r w:rsidDel="00000000" w:rsidR="00000000" w:rsidRPr="00000000">
        <w:rPr>
          <w:color w:val="333333"/>
          <w:sz w:val="20"/>
          <w:szCs w:val="20"/>
          <w:highlight w:val="white"/>
          <w:rtl w:val="0"/>
        </w:rPr>
        <w:t xml:space="preserve"> </w:t>
      </w:r>
      <w:r w:rsidDel="00000000" w:rsidR="00000000" w:rsidRPr="00000000">
        <w:rPr>
          <w:rFonts w:ascii="Comic Sans MS" w:cs="Comic Sans MS" w:eastAsia="Comic Sans MS" w:hAnsi="Comic Sans MS"/>
          <w:sz w:val="20"/>
          <w:szCs w:val="20"/>
          <w:highlight w:val="white"/>
          <w:rtl w:val="0"/>
        </w:rPr>
        <w:t xml:space="preserve"> AWS Glue reduces the time it takes to start analyzing your data from months to minutes. It provides you with both visual and code-based interfaces to make data preparation easy.</w:t>
      </w:r>
    </w:p>
    <w:p w:rsidR="00000000" w:rsidDel="00000000" w:rsidP="00000000" w:rsidRDefault="00000000" w:rsidRPr="00000000" w14:paraId="0000001D">
      <w:pPr>
        <w:rPr>
          <w:rFonts w:ascii="Comic Sans MS" w:cs="Comic Sans MS" w:eastAsia="Comic Sans MS" w:hAnsi="Comic Sans MS"/>
          <w:color w:val="333333"/>
          <w:sz w:val="21"/>
          <w:szCs w:val="21"/>
          <w:highlight w:val="white"/>
        </w:rPr>
      </w:pPr>
      <w:r w:rsidDel="00000000" w:rsidR="00000000" w:rsidRPr="00000000">
        <w:rPr>
          <w:rtl w:val="0"/>
        </w:rPr>
      </w:r>
    </w:p>
    <w:p w:rsidR="00000000" w:rsidDel="00000000" w:rsidP="00000000" w:rsidRDefault="00000000" w:rsidRPr="00000000" w14:paraId="0000001E">
      <w:pPr>
        <w:rPr>
          <w:rFonts w:ascii="Comic Sans MS" w:cs="Comic Sans MS" w:eastAsia="Comic Sans MS" w:hAnsi="Comic Sans MS"/>
          <w:color w:val="333333"/>
          <w:sz w:val="21"/>
          <w:szCs w:val="21"/>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Comic Sans MS" w:cs="Comic Sans MS" w:eastAsia="Comic Sans MS" w:hAnsi="Comic Sans MS"/>
          <w:color w:val="333333"/>
          <w:sz w:val="21"/>
          <w:szCs w:val="21"/>
          <w:highlight w:val="white"/>
          <w:u w:val="none"/>
        </w:rPr>
      </w:pPr>
      <w:r w:rsidDel="00000000" w:rsidR="00000000" w:rsidRPr="00000000">
        <w:rPr>
          <w:rFonts w:ascii="Comic Sans MS" w:cs="Comic Sans MS" w:eastAsia="Comic Sans MS" w:hAnsi="Comic Sans MS"/>
          <w:b w:val="1"/>
          <w:color w:val="333333"/>
          <w:sz w:val="21"/>
          <w:szCs w:val="21"/>
          <w:highlight w:val="white"/>
          <w:rtl w:val="0"/>
        </w:rPr>
        <w:t xml:space="preserve">Simple Storage Service</w:t>
      </w:r>
      <w:r w:rsidDel="00000000" w:rsidR="00000000" w:rsidRPr="00000000">
        <w:rPr>
          <w:rFonts w:ascii="Comic Sans MS" w:cs="Comic Sans MS" w:eastAsia="Comic Sans MS" w:hAnsi="Comic Sans MS"/>
          <w:color w:val="333333"/>
          <w:sz w:val="21"/>
          <w:szCs w:val="21"/>
          <w:highlight w:val="white"/>
          <w:rtl w:val="0"/>
        </w:rPr>
        <w:t xml:space="preserve"> - Scale storage resources to meet fluctuating needs with 99.999999999%  of data durability.store data acrosS Amazon S3 storage classes to reduce costs without upfront investment or hardware refresh cycles. Protect your data With unmatched security, compliance, and audit capabilities. It also has Intelligent where it helps to reduce the cost of storage.</w:t>
      </w:r>
    </w:p>
    <w:p w:rsidR="00000000" w:rsidDel="00000000" w:rsidP="00000000" w:rsidRDefault="00000000" w:rsidRPr="00000000" w14:paraId="00000020">
      <w:pPr>
        <w:rPr>
          <w:rFonts w:ascii="Comic Sans MS" w:cs="Comic Sans MS" w:eastAsia="Comic Sans MS" w:hAnsi="Comic Sans MS"/>
          <w:color w:val="333333"/>
          <w:sz w:val="21"/>
          <w:szCs w:val="21"/>
          <w:highlight w:val="white"/>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color w:val="333333"/>
          <w:sz w:val="21"/>
          <w:szCs w:val="21"/>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Comic Sans MS" w:cs="Comic Sans MS" w:eastAsia="Comic Sans MS" w:hAnsi="Comic Sans MS"/>
          <w:color w:val="333333"/>
          <w:sz w:val="21"/>
          <w:szCs w:val="21"/>
          <w:highlight w:val="white"/>
          <w:u w:val="none"/>
        </w:rPr>
      </w:pPr>
      <w:r w:rsidDel="00000000" w:rsidR="00000000" w:rsidRPr="00000000">
        <w:rPr>
          <w:rFonts w:ascii="Comic Sans MS" w:cs="Comic Sans MS" w:eastAsia="Comic Sans MS" w:hAnsi="Comic Sans MS"/>
          <w:b w:val="1"/>
          <w:color w:val="333333"/>
          <w:sz w:val="21"/>
          <w:szCs w:val="21"/>
          <w:highlight w:val="white"/>
          <w:rtl w:val="0"/>
        </w:rPr>
        <w:t xml:space="preserve">Cloud Watch</w:t>
      </w:r>
      <w:r w:rsidDel="00000000" w:rsidR="00000000" w:rsidRPr="00000000">
        <w:rPr>
          <w:rFonts w:ascii="Comic Sans MS" w:cs="Comic Sans MS" w:eastAsia="Comic Sans MS" w:hAnsi="Comic Sans MS"/>
          <w:color w:val="333333"/>
          <w:sz w:val="21"/>
          <w:szCs w:val="21"/>
          <w:highlight w:val="white"/>
          <w:rtl w:val="0"/>
        </w:rPr>
        <w:t xml:space="preserve"> - It's an option , it can help to track where servers are working and up. And if anything fails then it would send an sms alert.</w:t>
      </w:r>
    </w:p>
    <w:p w:rsidR="00000000" w:rsidDel="00000000" w:rsidP="00000000" w:rsidRDefault="00000000" w:rsidRPr="00000000" w14:paraId="00000023">
      <w:pPr>
        <w:ind w:left="720" w:firstLine="0"/>
        <w:rPr>
          <w:rFonts w:ascii="Comic Sans MS" w:cs="Comic Sans MS" w:eastAsia="Comic Sans MS" w:hAnsi="Comic Sans MS"/>
          <w:color w:val="333333"/>
          <w:sz w:val="21"/>
          <w:szCs w:val="21"/>
          <w:highlight w:val="white"/>
        </w:rPr>
      </w:pPr>
      <w:r w:rsidDel="00000000" w:rsidR="00000000" w:rsidRPr="00000000">
        <w:rPr>
          <w:rtl w:val="0"/>
        </w:rPr>
      </w:r>
    </w:p>
    <w:p w:rsidR="00000000" w:rsidDel="00000000" w:rsidP="00000000" w:rsidRDefault="00000000" w:rsidRPr="00000000" w14:paraId="00000024">
      <w:pPr>
        <w:ind w:left="0" w:firstLine="0"/>
        <w:rPr>
          <w:rFonts w:ascii="Comic Sans MS" w:cs="Comic Sans MS" w:eastAsia="Comic Sans MS" w:hAnsi="Comic Sans MS"/>
          <w:color w:val="333333"/>
          <w:sz w:val="21"/>
          <w:szCs w:val="21"/>
          <w:highlight w:val="white"/>
        </w:rPr>
      </w:pPr>
      <w:r w:rsidDel="00000000" w:rsidR="00000000" w:rsidRPr="00000000">
        <w:rPr>
          <w:rtl w:val="0"/>
        </w:rPr>
      </w:r>
    </w:p>
    <w:p w:rsidR="00000000" w:rsidDel="00000000" w:rsidP="00000000" w:rsidRDefault="00000000" w:rsidRPr="00000000" w14:paraId="00000025">
      <w:pPr>
        <w:ind w:left="720" w:firstLine="0"/>
        <w:rPr>
          <w:sz w:val="18"/>
          <w:szCs w:val="18"/>
        </w:rPr>
      </w:pPr>
      <w:r w:rsidDel="00000000" w:rsidR="00000000" w:rsidRPr="00000000">
        <w:rPr>
          <w:color w:val="ffffff"/>
          <w:sz w:val="30"/>
          <w:szCs w:val="30"/>
          <w:rtl w:val="0"/>
        </w:rPr>
        <w:t xml:space="preserve">events per day to hundreds of thousands per second</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