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Élisanah Mauricio EI – Entrepreneure individuelle (EI) – micro-entrepreneure</w:t>
      </w:r>
    </w:p>
    <w:p>
      <w:pPr>
        <w:spacing w:after="20"/>
      </w:pPr>
      <w:r>
        <w:rPr>
          <w:rFonts w:ascii="Arial" w:cs="Arial" w:eastAsia="Arial" w:hAnsi="Arial"/>
          <w:color w:val="5B6B7A"/>
          <w:sz w:val="18"/>
          <w:szCs w:val="18"/>
        </w:rPr>
        <w:t xml:space="preserve">SIRET 130 192 503 00014 – Immatriculée au Registre national des entreprises (RNE) – APE 81.21Z</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contact@essentielservicescharente.fr</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Devis</w:t>
      </w:r>
    </w:p>
    <w:p>
      <w:pPr>
        <w:tabs>
          <w:tab w:val="right" w:pos="9826" w:leader="dot"/>
        </w:tabs>
        <w:spacing w:after="70" w:line="250"/>
      </w:pPr>
      <w:r>
        <w:rPr>
          <w:rFonts w:ascii="Arial" w:cs="Arial" w:eastAsia="Arial" w:hAnsi="Arial"/>
          <w:b/>
          <w:bCs/>
          <w:sz w:val="18"/>
          <w:szCs w:val="18"/>
        </w:rPr>
        <w:t xml:space="preserve">Devis 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Valable jusqu'au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spacing w:after="50" w:line="250"/>
      </w:pPr>
      <w:r>
        <w:rPr>
          <w:rFonts w:ascii="Arial" w:cs="Arial" w:eastAsia="Arial" w:hAnsi="Arial"/>
          <w:sz w:val="18"/>
          <w:szCs w:val="18"/>
        </w:rPr>
        <w:t xml:space="preserve"> </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w:t>
      </w:r>
      <w:r>
        <w:rPr>
          <w:rFonts w:ascii="Arial" w:cs="Arial" w:eastAsia="Arial" w:hAnsi="Arial"/>
          <w:sz w:val="20"/>
          <w:szCs w:val="20"/>
        </w:rPr>
        <w:t xml:space="preserve">☐ </w:t>
      </w:r>
      <w:r>
        <w:rPr>
          <w:rFonts w:ascii="Arial" w:cs="Arial" w:eastAsia="Arial" w:hAnsi="Arial"/>
          <w:sz w:val="18"/>
          <w:szCs w:val="18"/>
        </w:rPr>
        <w:t xml:space="preserve">Soutien scolaire     </w:t>
      </w:r>
      <w:r>
        <w:rPr>
          <w:rFonts w:ascii="Arial" w:cs="Arial" w:eastAsia="Arial" w:hAnsi="Arial"/>
          <w:sz w:val="20"/>
          <w:szCs w:val="20"/>
        </w:rPr>
        <w:t xml:space="preserve">☐ </w:t>
      </w:r>
      <w:r>
        <w:rPr>
          <w:rFonts w:ascii="Arial" w:cs="Arial" w:eastAsia="Arial" w:hAnsi="Arial"/>
          <w:sz w:val="18"/>
          <w:szCs w:val="18"/>
        </w:rPr>
        <w:t xml:space="preserve">Garde d'enfants     </w:t>
      </w:r>
    </w:p>
    <w:p>
      <w:pPr>
        <w:spacing w:after="50" w:line="250"/>
      </w:pPr>
      <w:r>
        <w:rPr>
          <w:rFonts w:ascii="Arial" w:cs="Arial" w:eastAsia="Arial" w:hAnsi="Arial"/>
          <w:b/>
          <w:bCs/>
          <w:sz w:val="18"/>
          <w:szCs w:val="18"/>
        </w:rPr>
        <w:t xml:space="preserve">Description de la prestation (tâches, fréquence, durée de chaque intervention)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Jours et horaires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6"/>
          <w:szCs w:val="16"/>
        </w:rPr>
        <w:t xml:space="preserve">Interventions du lundi au vendredi, de 8 h à 18 h, hors congés annuels. Durée minimale : 2 heures pour le ménage, 1 h 30 pour les autres services.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66"/>
        <w:gridCol w:w="1500"/>
        <w:gridCol w:w="1900"/>
        <w:gridCol w:w="2000"/>
      </w:tblGrid>
      <w:tr>
        <w:tc>
          <w:tcPr>
            <w:tcW w:type="dxa" w:w="44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Désignation</w:t>
            </w:r>
          </w:p>
        </w:tc>
        <w:tc>
          <w:tcPr>
            <w:tcW w:type="dxa" w:w="15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Quantité (h ou forfait)</w:t>
            </w:r>
          </w:p>
        </w:tc>
        <w:tc>
          <w:tcPr>
            <w:tcW w:type="dxa" w:w="19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Prix unitaire</w:t>
            </w:r>
          </w:p>
        </w:tc>
        <w:tc>
          <w:tcPr>
            <w:tcW w:type="dxa" w:w="2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Montant</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Frais de déplacement (au-delà de la zone d'intervention)</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Majorations éventuelles (jours fériés, intervention urgente)</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Remise (tarif dégressif, plusieurs enfants)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bCs/>
                <w:sz w:val="18"/>
                <w:szCs w:val="18"/>
              </w:rPr>
              <w:t xml:space="preserve">TOTAL NET À PAYER – TVA non applicable, article 293 B du Code général des impôts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bl>
    <w:p>
      <w:r>
        <w:br w:type="page"/>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 30.</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Garde d'enfants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14 €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4 enfants au maximum ; tarif dégressif pour plusieurs enfants, indiqué sur le devis.</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Conditions</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ListParagraph"/>
        <w:numPr>
          <w:ilvl w:val="0"/>
          <w:numId w:val="2"/>
        </w:numPr>
        <w:spacing w:after="30" w:line="250"/>
      </w:pPr>
      <w:r>
        <w:rPr>
          <w:rFonts w:ascii="Arial" w:cs="Arial" w:eastAsia="Arial" w:hAnsi="Arial"/>
          <w:sz w:val="18"/>
          <w:szCs w:val="18"/>
        </w:rPr>
        <w:t xml:space="preserve">Les produits d'entretien et le matériel sont fournis par le Client (ménage). La Prestataire n'intervient pas en présence d'animaux.</w:t>
      </w:r>
    </w:p>
    <w:p>
      <w:pPr>
        <w:pStyle w:val="ListParagraph"/>
        <w:numPr>
          <w:ilvl w:val="0"/>
          <w:numId w:val="2"/>
        </w:numPr>
        <w:spacing w:after="30" w:line="250"/>
      </w:pPr>
      <w:r>
        <w:rPr>
          <w:rFonts w:ascii="Arial" w:cs="Arial" w:eastAsia="Arial" w:hAnsi="Arial"/>
          <w:sz w:val="18"/>
          <w:szCs w:val="18"/>
        </w:rPr>
        <w:t xml:space="preserve">Tarifs révisés une fois par an et communiqués à l'avance.</w:t>
      </w:r>
    </w:p>
    <w:p>
      <w:pPr>
        <w:pStyle w:val="Heading2"/>
        <w:keepNext/>
        <w:spacing w:after="60" w:before="140"/>
      </w:pPr>
      <w:r>
        <w:rPr>
          <w:rFonts w:ascii="Georgia" w:cs="Georgia" w:eastAsia="Georgia" w:hAnsi="Georgia"/>
          <w:color w:val="0F2A44"/>
          <w:sz w:val="22"/>
          <w:szCs w:val="22"/>
        </w:rPr>
        <w:t xml:space="preserve">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 Aucun paiement ne peut être exigé avant l'expiration d'un délai de 7 jours à compter de la conclusion d'un contrat hors établissement, sauf cas prévus par la loi.</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Médiation et assurance</w:t>
      </w:r>
    </w:p>
    <w:p>
      <w:pPr>
        <w:spacing w:after="50" w:line="250"/>
      </w:pPr>
      <w:r>
        <w:rPr>
          <w:rFonts w:ascii="Arial" w:cs="Arial" w:eastAsia="Arial" w:hAnsi="Arial"/>
          <w:b/>
          <w:bCs/>
          <w:sz w:val="18"/>
          <w:szCs w:val="18"/>
        </w:rPr>
        <w:t xml:space="preserve">Médiateur de la consommation : </w:t>
      </w:r>
      <w:r>
        <w:rPr>
          <w:rFonts w:ascii="Arial" w:cs="Arial" w:eastAsia="Arial" w:hAnsi="Arial"/>
          <w:sz w:val="18"/>
          <w:szCs w:val="18"/>
        </w:rPr>
        <w:t xml:space="preserve">CM2C – Centre de la médiation de la consommation de conciliateurs de justice, 49 rue de Ponthieu, 75008 Paris – https://www.cm2c.net</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spacing w:after="160" w:before="120"/>
      </w:pPr>
      <w:r>
        <w:rPr>
          <w:rFonts w:ascii="Arial" w:cs="Arial" w:eastAsia="Arial" w:hAnsi="Arial"/>
          <w:color w:val="5B6B7A"/>
          <w:sz w:val="17"/>
          <w:szCs w:val="17"/>
        </w:rPr>
        <w:t xml:space="preserve">Les conditions générales de prestation sont remises avec ce devis et consultables sur https://www.essentielservicescharente.fr/conditions-generales.html. En signant, le Client reconnaît en avoir pris connaissance.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Bon pour accord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Élisanah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Élisanah Mauricio EI – 121 rue Marcel Pagnol, 16600 Ruelle-sur-Touvre – contact@essentielservicescharente.fr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Élisanah Mauricio EI – SIRET 130 192 503 00014 – Devis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Devis</dc:title>
  <dc:creator>Élisanah Mauricio</dc:creator>
  <cp:lastModifiedBy>Un-named</cp:lastModifiedBy>
  <cp:revision>1</cp:revision>
  <dcterms:created xsi:type="dcterms:W3CDTF">2026-10-06T17:22:24.728Z</dcterms:created>
  <dcterms:modified xsi:type="dcterms:W3CDTF">2026-10-06T17:22:24.728Z</dcterms:modified>
</cp:coreProperties>
</file>

<file path=docProps/custom.xml><?xml version="1.0" encoding="utf-8"?>
<Properties xmlns="http://schemas.openxmlformats.org/officeDocument/2006/custom-properties" xmlns:vt="http://schemas.openxmlformats.org/officeDocument/2006/docPropsVTypes"/>
</file>