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les soins, la garde d'enfants,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Ménage : s'assurer qu'aucun animal n'est présent pendant l'intervention.</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Soutien scolaire</w:t>
      </w:r>
    </w:p>
    <w:p>
      <w:pPr>
        <w:tabs>
          <w:tab w:val="right" w:pos="9826" w:leader="dot"/>
        </w:tabs>
        <w:spacing w:after="70" w:line="250"/>
      </w:pPr>
      <w:r>
        <w:rPr>
          <w:rFonts w:ascii="Arial" w:cs="Arial" w:eastAsia="Arial" w:hAnsi="Arial"/>
          <w:b/>
          <w:bCs/>
          <w:sz w:val="18"/>
          <w:szCs w:val="18"/>
        </w:rPr>
        <w:t xml:space="preserve">Prénom et classe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Matières, difficultés et objectifs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Adulte présent ou joignable pendant la séance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2026-10-07T18:10:39.117Z</dcterms:created>
  <dcterms:modified xsi:type="dcterms:W3CDTF">2026-10-07T18:10:39.117Z</dcterms:modified>
</cp:coreProperties>
</file>

<file path=docProps/custom.xml><?xml version="1.0" encoding="utf-8"?>
<Properties xmlns="http://schemas.openxmlformats.org/officeDocument/2006/custom-properties" xmlns:vt="http://schemas.openxmlformats.org/officeDocument/2006/docPropsVTypes"/>
</file>