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les soins, la garde d'enfants,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heure pour le soutien scolaire.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Ménage : s'assurer qu'aucun animal n'est présent pendant l'intervention.</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Soutien scolaire</w:t>
      </w:r>
    </w:p>
    <w:p>
      <w:pPr>
        <w:tabs>
          <w:tab w:val="right" w:pos="9826" w:leader="dot"/>
        </w:tabs>
        <w:spacing w:after="70" w:line="250"/>
      </w:pPr>
      <w:r>
        <w:rPr>
          <w:rFonts w:ascii="Arial" w:cs="Arial" w:eastAsia="Arial" w:hAnsi="Arial"/>
          <w:b/>
          <w:bCs/>
          <w:sz w:val="18"/>
          <w:szCs w:val="18"/>
        </w:rPr>
        <w:t xml:space="preserve">Prénom et classe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Matières, difficultés et objectifs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Adulte présent ou joignable pendant la séance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2026-10-07T18:17:23.683Z</dcterms:created>
  <dcterms:modified xsi:type="dcterms:W3CDTF">2026-10-07T18:17:23.683Z</dcterms:modified>
</cp:coreProperties>
</file>

<file path=docProps/custom.xml><?xml version="1.0" encoding="utf-8"?>
<Properties xmlns="http://schemas.openxmlformats.org/officeDocument/2006/custom-properties" xmlns:vt="http://schemas.openxmlformats.org/officeDocument/2006/docPropsVTypes"/>
</file>