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AI-Powered Financial Budget Tracking &amp; Smart Savings Analytics Dashboard</w:t>
      </w:r>
    </w:p>
    <w:p>
      <w:pPr/>
      <w:r>
        <w:rPr>
          <w:i/>
        </w:rPr>
        <w:t xml:space="preserve">Project Report — HTML5 · CSS3 · JavaScript · Chart.js</w:t>
      </w:r>
    </w:p>
    <w:p>
      <w:pPr>
        <w:pStyle w:val="Heading2"/>
      </w:pPr>
      <w:r>
        <w:t xml:space="preserve">1. Abstract</w:t>
      </w:r>
    </w:p>
    <w:p>
      <w:pPr/>
      <w:r>
        <w:t xml:space="preserve">Managing personal and household finances requires clear visibility into income, spending and savings. This project presents an interactive, browser-based dashboard that analyses a dataset of 20,000 households and turns raw figures into ten charts, ten key performance indicators, a financial health score, a risk classification, next-month predictions, a budget simulator and a savings goal planner. The system is built using only HTML5, CSS3, JavaScript and Chart.js, so it runs in any modern browser without a server or database. Filters for occupation, city tier, age and income update every chart, indicator, prediction and recommendation instantly. The prediction module uses multiple linear regression solved in the browser, and the health score uses a transparent weighted formula, making the results easy to explain and verify.</w:t>
      </w:r>
    </w:p>
    <w:p>
      <w:pPr>
        <w:pStyle w:val="Heading2"/>
      </w:pPr>
      <w:r>
        <w:t xml:space="preserve">2. Introduction and Objectives</w:t>
      </w:r>
    </w:p>
    <w:p>
      <w:pPr/>
      <w:r>
        <w:t xml:space="preserve">Many individuals do not know where their money goes or whether their savings are adequate. Spreadsheets show numbers but rarely explain them. A dashboard that combines visual analytics with simple prediction and recommendations helps users understand their position and plan better.</w:t>
      </w:r>
    </w:p>
    <w:p>
      <w:pPr/>
      <w:r>
        <w:t xml:space="preserve">The objectives of the project are:</w:t>
      </w:r>
    </w:p>
    <w:p>
      <w:pPr>
        <w:pStyle w:val="ListParagraph"/>
        <w:numPr>
          <w:ilvl w:val="0"/>
          <w:numId w:val="2"/>
        </w:numPr>
      </w:pPr>
      <w:r>
        <w:t xml:space="preserve">To analyse income, expense and savings patterns of 20,000 households.</w:t>
      </w:r>
    </w:p>
    <w:p>
      <w:pPr>
        <w:pStyle w:val="ListParagraph"/>
        <w:numPr>
          <w:ilvl w:val="0"/>
          <w:numId w:val="2"/>
        </w:numPr>
      </w:pPr>
      <w:r>
        <w:t xml:space="preserve">To visualise the data through ten interactive charts that respond to filters.</w:t>
      </w:r>
    </w:p>
    <w:p>
      <w:pPr>
        <w:pStyle w:val="ListParagraph"/>
        <w:numPr>
          <w:ilvl w:val="0"/>
          <w:numId w:val="2"/>
        </w:numPr>
      </w:pPr>
      <w:r>
        <w:t xml:space="preserve">To compute a Financial Health Score (0–100) and classify risk as Healthy, Moderate or High Risk.</w:t>
      </w:r>
    </w:p>
    <w:p>
      <w:pPr>
        <w:pStyle w:val="ListParagraph"/>
        <w:numPr>
          <w:ilvl w:val="0"/>
          <w:numId w:val="2"/>
        </w:numPr>
      </w:pPr>
      <w:r>
        <w:t xml:space="preserve">To predict next-month expenses and savings using a regression model.</w:t>
      </w:r>
    </w:p>
    <w:p>
      <w:pPr>
        <w:pStyle w:val="ListParagraph"/>
        <w:numPr>
          <w:ilvl w:val="0"/>
          <w:numId w:val="2"/>
        </w:numPr>
      </w:pPr>
      <w:r>
        <w:t xml:space="preserve">To recommend a smarter budget and identify the categories with the greatest saving potential.</w:t>
      </w:r>
    </w:p>
    <w:p>
      <w:pPr>
        <w:pStyle w:val="ListParagraph"/>
        <w:numPr>
          <w:ilvl w:val="0"/>
          <w:numId w:val="2"/>
        </w:numPr>
      </w:pPr>
      <w:r>
        <w:t xml:space="preserve">To provide what-if simulation, a savings goal planner, CSV export and a printable report.</w:t>
      </w:r>
    </w:p>
    <w:p>
      <w:pPr>
        <w:pStyle w:val="ListParagraph"/>
        <w:numPr>
          <w:ilvl w:val="0"/>
          <w:numId w:val="2"/>
        </w:numPr>
      </w:pPr>
      <w:r>
        <w:t xml:space="preserve">To deliver a professional, responsive interface with light and dark modes.</w:t>
      </w:r>
    </w:p>
    <w:p>
      <w:pPr>
        <w:pStyle w:val="Heading2"/>
      </w:pPr>
      <w:r>
        <w:t xml:space="preserve">3. Technology Stack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Technology</w:t>
            </w:r>
          </w:p>
        </w:tc>
        <w:tc>
          <w:tcPr>
            <w:tcW w:w="4680" w:type="dxa"/>
            <w:shd w:val="clear" w:color="auto" w:fill="F2F2F2"/>
          </w:tcPr>
          <w:p>
            <w:pPr/>
            <w:r>
              <w:t xml:space="preserve">Role in the project</w:t>
            </w:r>
          </w:p>
        </w:tc>
      </w:tr>
      <w:tr>
        <w:tc>
          <w:tcPr>
            <w:tcW w:w="4680" w:type="dxa"/>
          </w:tcPr>
          <w:p>
            <w:pPr/>
            <w:r>
              <w:t xml:space="preserve">HTML5</w:t>
            </w:r>
          </w:p>
        </w:tc>
        <w:tc>
          <w:tcPr>
            <w:tcW w:w="4680" w:type="dxa"/>
          </w:tcPr>
          <w:p>
            <w:pPr/>
            <w:r>
              <w:t xml:space="preserve">Page structure: sidebar, filter bar, ten sections and chart canvases</w:t>
            </w:r>
          </w:p>
        </w:tc>
      </w:tr>
      <w:tr>
        <w:tc>
          <w:tcPr>
            <w:tcW w:w="4680" w:type="dxa"/>
          </w:tcPr>
          <w:p>
            <w:pPr/>
            <w:r>
              <w:t xml:space="preserve">CSS3</w:t>
            </w:r>
          </w:p>
        </w:tc>
        <w:tc>
          <w:tcPr>
            <w:tcW w:w="4680" w:type="dxa"/>
          </w:tcPr>
          <w:p>
            <w:pPr/>
            <w:r>
              <w:t xml:space="preserve">Grid and Flexbox layout, CSS variables for light/dark themes, responsive breakpoints, print styles</w:t>
            </w:r>
          </w:p>
        </w:tc>
      </w:tr>
      <w:tr>
        <w:tc>
          <w:tcPr>
            <w:tcW w:w="4680" w:type="dxa"/>
          </w:tcPr>
          <w:p>
            <w:pPr/>
            <w:r>
              <w:t xml:space="preserve">JavaScript (ES6)</w:t>
            </w:r>
          </w:p>
        </w:tc>
        <w:tc>
          <w:tcPr>
            <w:tcW w:w="4680" w:type="dxa"/>
          </w:tcPr>
          <w:p>
            <w:pPr/>
            <w:r>
              <w:t xml:space="preserve">Data parsing, analytics, scoring, regression, simulator, goals, export</w:t>
            </w:r>
          </w:p>
        </w:tc>
      </w:tr>
      <w:tr>
        <w:tc>
          <w:tcPr>
            <w:tcW w:w="4680" w:type="dxa"/>
          </w:tcPr>
          <w:p>
            <w:pPr/>
            <w:r>
              <w:t xml:space="preserve">Chart.js 4.4.4</w:t>
            </w:r>
          </w:p>
        </w:tc>
        <w:tc>
          <w:tcPr>
            <w:tcW w:w="4680" w:type="dxa"/>
          </w:tcPr>
          <w:p>
            <w:pPr/>
            <w:r>
              <w:t xml:space="preserve">Bar, doughnut, pie and scatter charts, loaded from a CDN before any dashboard code</w:t>
            </w:r>
          </w:p>
        </w:tc>
      </w:tr>
      <w:tr>
        <w:tc>
          <w:tcPr>
            <w:tcW w:w="4680" w:type="dxa"/>
          </w:tcPr>
          <w:p>
            <w:pPr/>
            <w:r>
              <w:t xml:space="preserve">Browser localStorage</w:t>
            </w:r>
          </w:p>
        </w:tc>
        <w:tc>
          <w:tcPr>
            <w:tcW w:w="4680" w:type="dxa"/>
          </w:tcPr>
          <w:p>
            <w:pPr/>
            <w:r>
              <w:t xml:space="preserve">Saves the chosen theme and the user's savings goals</w:t>
            </w:r>
          </w:p>
        </w:tc>
      </w:tr>
    </w:tbl>
    <w:p>
      <w:pPr/>
      <w:r>
        <w:t xml:space="preserve">No Python, database or backend API is used. All calculations run on the user's device.</w:t>
      </w:r>
    </w:p>
    <w:p>
      <w:pPr>
        <w:pStyle w:val="Heading2"/>
      </w:pPr>
      <w:r>
        <w:t xml:space="preserve">4. Dataset Description</w:t>
      </w:r>
    </w:p>
    <w:p>
      <w:pPr/>
      <w:r>
        <w:t xml:space="preserve">The dashboard uses the existing household finance dataset embedded in the application. It contains 20,000 records covering ages 18 to 64, four occupations (Professional, Retired, Self Employed, Student) and three city tiers (Tier 1, Tier 2, Tier 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 group</w:t>
            </w:r>
          </w:p>
        </w:tc>
        <w:tc>
          <w:tcPr>
            <w:tcW w:w="4680" w:type="dxa"/>
            <w:shd w:val="clear" w:color="auto" w:fill="F2F2F2"/>
          </w:tcPr>
          <w:p>
            <w:pPr/>
            <w:r>
              <w:t xml:space="preserve">Fields</w:t>
            </w:r>
          </w:p>
        </w:tc>
      </w:tr>
      <w:tr>
        <w:tc>
          <w:tcPr>
            <w:tcW w:w="4680" w:type="dxa"/>
          </w:tcPr>
          <w:p>
            <w:pPr/>
            <w:r>
              <w:t xml:space="preserve">Profile</w:t>
            </w:r>
          </w:p>
        </w:tc>
        <w:tc>
          <w:tcPr>
            <w:tcW w:w="4680" w:type="dxa"/>
          </w:tcPr>
          <w:p>
            <w:pPr/>
            <w:r>
              <w:t xml:space="preserve">Income, age, dependents, occupation, city tier</w:t>
            </w:r>
          </w:p>
        </w:tc>
      </w:tr>
      <w:tr>
        <w:tc>
          <w:tcPr>
            <w:tcW w:w="4680" w:type="dxa"/>
          </w:tcPr>
          <w:p>
            <w:pPr/>
            <w:r>
              <w:t xml:space="preserve">Expenses (11)</w:t>
            </w:r>
          </w:p>
        </w:tc>
        <w:tc>
          <w:tcPr>
            <w:tcW w:w="4680" w:type="dxa"/>
          </w:tcPr>
          <w:p>
            <w:pPr/>
            <w:r>
              <w:t xml:space="preserve">Rent, loan repayment, insurance, groceries, transport, eating out, entertainment, utilities, healthcare, education, miscellaneous</w:t>
            </w:r>
          </w:p>
        </w:tc>
      </w:tr>
      <w:tr>
        <w:tc>
          <w:tcPr>
            <w:tcW w:w="4680" w:type="dxa"/>
          </w:tcPr>
          <w:p>
            <w:pPr/>
            <w:r>
              <w:t xml:space="preserve">Potential savings (8)</w:t>
            </w:r>
          </w:p>
        </w:tc>
        <w:tc>
          <w:tcPr>
            <w:tcW w:w="4680" w:type="dxa"/>
          </w:tcPr>
          <w:p>
            <w:pPr/>
            <w:r>
              <w:t xml:space="preserve">Potential saving for groceries, transport, eating out, entertainment, utilities, healthcare, education and miscellaneous</w:t>
            </w:r>
          </w:p>
        </w:tc>
      </w:tr>
      <w:tr>
        <w:tc>
          <w:tcPr>
            <w:tcW w:w="4680" w:type="dxa"/>
          </w:tcPr>
          <w:p>
            <w:pPr/>
            <w:r>
              <w:t xml:space="preserve">Target</w:t>
            </w:r>
          </w:p>
        </w:tc>
        <w:tc>
          <w:tcPr>
            <w:tcW w:w="4680" w:type="dxa"/>
          </w:tcPr>
          <w:p>
            <w:pPr/>
            <w:r>
              <w:t xml:space="preserve">Desired savings percentage of income</w:t>
            </w:r>
          </w:p>
        </w:tc>
      </w:tr>
    </w:tbl>
    <w:p>
      <w:pPr/>
      <w:r>
        <w:t xml:space="preserve">The data is stored as one compact text record per household and parsed at start-up. During parsing, missing or invalid values become zero, and derived fields are added: total expense, disposable income, savings target, desired savings, total potential savings, essential and discretionary spending, health score and risk level.</w:t>
      </w:r>
    </w:p>
    <w:p>
      <w:pPr>
        <w:pStyle w:val="Heading2"/>
      </w:pPr>
      <w:r>
        <w:t xml:space="preserve">5. System Design</w:t>
      </w:r>
    </w:p>
    <w:p>
      <w:pPr/>
      <w:r>
        <w:t xml:space="preserve">The application follows a simple one-way data flow:</w:t>
      </w:r>
    </w:p>
    <w:p>
      <w:pPr>
        <w:pStyle w:val="ListParagraph"/>
        <w:numPr>
          <w:ilvl w:val="0"/>
          <w:numId w:val="3"/>
        </w:numPr>
      </w:pPr>
      <w:r>
        <w:rPr>
          <w:b/>
        </w:rPr>
        <w:t xml:space="preserve">Dataset</w:t>
      </w:r>
      <w:r>
        <w:t xml:space="preserve"> – raw household records are parsed into JavaScript objects.</w:t>
      </w:r>
    </w:p>
    <w:p>
      <w:pPr>
        <w:pStyle w:val="ListParagraph"/>
        <w:numPr>
          <w:ilvl w:val="0"/>
          <w:numId w:val="3"/>
        </w:numPr>
      </w:pPr>
      <w:r>
        <w:rPr>
          <w:b/>
        </w:rPr>
        <w:t xml:space="preserve">Derived features</w:t>
      </w:r>
      <w:r>
        <w:t xml:space="preserve"> – totals, ratios, health score and risk are calculated for each household.</w:t>
      </w:r>
    </w:p>
    <w:p>
      <w:pPr>
        <w:pStyle w:val="ListParagraph"/>
        <w:numPr>
          <w:ilvl w:val="0"/>
          <w:numId w:val="3"/>
        </w:numPr>
      </w:pPr>
      <w:r>
        <w:rPr>
          <w:b/>
        </w:rPr>
        <w:t xml:space="preserve">Filtering</w:t>
      </w:r>
      <w:r>
        <w:t xml:space="preserve"> – the active occupation, city, age and income selections choose the households to analyse.</w:t>
      </w:r>
    </w:p>
    <w:p>
      <w:pPr>
        <w:pStyle w:val="ListParagraph"/>
        <w:numPr>
          <w:ilvl w:val="0"/>
          <w:numId w:val="3"/>
        </w:numPr>
      </w:pPr>
      <w:r>
        <w:rPr>
          <w:b/>
        </w:rPr>
        <w:t xml:space="preserve">Aggregation</w:t>
      </w:r>
      <w:r>
        <w:t xml:space="preserve"> – one pass over the selected rows computes sums, means, risk counts and occupation totals.</w:t>
      </w:r>
    </w:p>
    <w:p>
      <w:pPr>
        <w:pStyle w:val="ListParagraph"/>
        <w:numPr>
          <w:ilvl w:val="0"/>
          <w:numId w:val="3"/>
        </w:numPr>
      </w:pPr>
      <w:r>
        <w:rPr>
          <w:b/>
        </w:rPr>
        <w:t xml:space="preserve">Analytics and prediction</w:t>
      </w:r>
      <w:r>
        <w:t xml:space="preserve"> – KPIs, regression prediction, budget recommendation and insights are generated.</w:t>
      </w:r>
    </w:p>
    <w:p>
      <w:pPr>
        <w:pStyle w:val="ListParagraph"/>
        <w:numPr>
          <w:ilvl w:val="0"/>
          <w:numId w:val="3"/>
        </w:numPr>
      </w:pPr>
      <w:r>
        <w:rPr>
          <w:b/>
        </w:rPr>
        <w:t xml:space="preserve">Visualisation</w:t>
      </w:r>
      <w:r>
        <w:t xml:space="preserve"> – ten Chart.js charts and all indicator panels are redrawn.</w:t>
      </w:r>
    </w:p>
    <w:p>
      <w:pPr/>
      <w:r>
        <w:t xml:space="preserve">Every filter change re-runs steps 3 to 6, which keeps all numbers consistent with each other. Chart.js is loaded first in the page head; if the primary CDN fails, the code retries two alternative CDNs and, if all fail, displays a clear message while the rest of the dashboard continues to work.</w:t>
      </w:r>
    </w:p>
    <w:p>
      <w:pPr>
        <w:pStyle w:val="Heading2"/>
      </w:pPr>
      <w:r>
        <w:t xml:space="preserve">6. Dashboard Modules</w:t>
      </w:r>
    </w:p>
    <w:p>
      <w:pPr/>
      <w:r>
        <w:t xml:space="preserve">The sidebar groups the dashboard into nine sections: </w:t>
      </w:r>
      <w:r>
        <w:rPr>
          <w:b/>
        </w:rPr>
        <w:t xml:space="preserve">Overview, Income, Expenses, Savings</w:t>
      </w:r>
      <w:r>
        <w:t xml:space="preserve"> (Analytics); </w:t>
      </w:r>
      <w:r>
        <w:rPr>
          <w:b/>
        </w:rPr>
        <w:t xml:space="preserve">Prediction, Health &amp; Risk, Smart Insights</w:t>
      </w:r>
      <w:r>
        <w:t xml:space="preserve"> (Intelligence); and </w:t>
      </w:r>
      <w:r>
        <w:rPr>
          <w:b/>
        </w:rPr>
        <w:t xml:space="preserve">Budget Simulator, Savings Goals</w:t>
      </w:r>
      <w:r>
        <w:t xml:space="preserve"> (Planning).</w:t>
      </w:r>
    </w:p>
    <w:p>
      <w:pPr>
        <w:pStyle w:val="Heading3"/>
      </w:pPr>
      <w:r>
        <w:t xml:space="preserve">6.1 Key Performance Indicators</w:t>
      </w:r>
    </w:p>
    <w:p>
      <w:pPr/>
      <w:r>
        <w:t xml:space="preserve">Total Income, Average Income, Total Expenses, Average Expenses, Disposable Income, Average Savings, Savings Percentage, Savings Potential, Financial Health Score and Financial Risk Level. Values animate when filters change, and hovering shows each definition.</w:t>
      </w:r>
    </w:p>
    <w:p>
      <w:pPr>
        <w:pStyle w:val="Heading3"/>
      </w:pPr>
      <w:r>
        <w:t xml:space="preserve">6.2 The Ten Charts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Chart</w:t>
            </w:r>
          </w:p>
        </w:tc>
        <w:tc>
          <w:tcPr>
            <w:tcW w:w="2340" w:type="dxa"/>
            <w:shd w:val="clear" w:color="auto" w:fill="F2F2F2"/>
          </w:tcPr>
          <w:p>
            <w:pPr/>
            <w:r>
              <w:t xml:space="preserve">Type</w:t>
            </w:r>
          </w:p>
        </w:tc>
        <w:tc>
          <w:tcPr>
            <w:tcW w:w="2340" w:type="dxa"/>
            <w:shd w:val="clear" w:color="auto" w:fill="F2F2F2"/>
          </w:tcPr>
          <w:p>
            <w:pPr/>
            <w:r>
              <w:t xml:space="preserve">Purpose</w:t>
            </w:r>
          </w:p>
        </w:tc>
      </w:tr>
      <w:tr>
        <w:tc>
          <w:tcPr>
            <w:tcW w:w="2340" w:type="dxa"/>
          </w:tcPr>
          <w:p>
            <w:pPr/>
            <w:r>
              <w:t xml:space="preserve">1</w:t>
            </w:r>
          </w:p>
        </w:tc>
        <w:tc>
          <w:tcPr>
            <w:tcW w:w="2340" w:type="dxa"/>
          </w:tcPr>
          <w:p>
            <w:pPr/>
            <w:r>
              <w:t xml:space="preserve">Income Distribution</w:t>
            </w:r>
          </w:p>
        </w:tc>
        <w:tc>
          <w:tcPr>
            <w:tcW w:w="2340" w:type="dxa"/>
          </w:tcPr>
          <w:p>
            <w:pPr/>
            <w:r>
              <w:t xml:space="preserve">Bar</w:t>
            </w:r>
          </w:p>
        </w:tc>
        <w:tc>
          <w:tcPr>
            <w:tcW w:w="2340" w:type="dxa"/>
          </w:tcPr>
          <w:p>
            <w:pPr/>
            <w:r>
              <w:t xml:space="preserve">Households per income band</w:t>
            </w:r>
          </w:p>
        </w:tc>
      </w:tr>
      <w:tr>
        <w:tc>
          <w:tcPr>
            <w:tcW w:w="2340" w:type="dxa"/>
          </w:tcPr>
          <w:p>
            <w:pPr/>
            <w:r>
              <w:t xml:space="preserve">2</w:t>
            </w:r>
          </w:p>
        </w:tc>
        <w:tc>
          <w:tcPr>
            <w:tcW w:w="2340" w:type="dxa"/>
          </w:tcPr>
          <w:p>
            <w:pPr/>
            <w:r>
              <w:t xml:space="preserve">Average Income by Occupation</w:t>
            </w:r>
          </w:p>
        </w:tc>
        <w:tc>
          <w:tcPr>
            <w:tcW w:w="2340" w:type="dxa"/>
          </w:tcPr>
          <w:p>
            <w:pPr/>
            <w:r>
              <w:t xml:space="preserve">Bar</w:t>
            </w:r>
          </w:p>
        </w:tc>
        <w:tc>
          <w:tcPr>
            <w:tcW w:w="2340" w:type="dxa"/>
          </w:tcPr>
          <w:p>
            <w:pPr/>
            <w:r>
              <w:t xml:space="preserve">Compare occupations</w:t>
            </w:r>
          </w:p>
        </w:tc>
      </w:tr>
      <w:tr>
        <w:tc>
          <w:tcPr>
            <w:tcW w:w="2340" w:type="dxa"/>
          </w:tcPr>
          <w:p>
            <w:pPr/>
            <w:r>
              <w:t xml:space="preserve">3</w:t>
            </w:r>
          </w:p>
        </w:tc>
        <w:tc>
          <w:tcPr>
            <w:tcW w:w="2340" w:type="dxa"/>
          </w:tcPr>
          <w:p>
            <w:pPr/>
            <w:r>
              <w:t xml:space="preserve">Average Spending by Category</w:t>
            </w:r>
          </w:p>
        </w:tc>
        <w:tc>
          <w:tcPr>
            <w:tcW w:w="2340" w:type="dxa"/>
          </w:tcPr>
          <w:p>
            <w:pPr/>
            <w:r>
              <w:t xml:space="preserve">Horizontal bar</w:t>
            </w:r>
          </w:p>
        </w:tc>
        <w:tc>
          <w:tcPr>
            <w:tcW w:w="2340" w:type="dxa"/>
          </w:tcPr>
          <w:p>
            <w:pPr/>
            <w:r>
              <w:t xml:space="preserve">Rank expense categories</w:t>
            </w:r>
          </w:p>
        </w:tc>
      </w:tr>
      <w:tr>
        <w:tc>
          <w:tcPr>
            <w:tcW w:w="2340" w:type="dxa"/>
          </w:tcPr>
          <w:p>
            <w:pPr/>
            <w:r>
              <w:t xml:space="preserve">4</w:t>
            </w:r>
          </w:p>
        </w:tc>
        <w:tc>
          <w:tcPr>
            <w:tcW w:w="2340" w:type="dxa"/>
          </w:tcPr>
          <w:p>
            <w:pPr/>
            <w:r>
              <w:t xml:space="preserve">Expense Category Breakdown</w:t>
            </w:r>
          </w:p>
        </w:tc>
        <w:tc>
          <w:tcPr>
            <w:tcW w:w="2340" w:type="dxa"/>
          </w:tcPr>
          <w:p>
            <w:pPr/>
            <w:r>
              <w:t xml:space="preserve">Doughnut</w:t>
            </w:r>
          </w:p>
        </w:tc>
        <w:tc>
          <w:tcPr>
            <w:tcW w:w="2340" w:type="dxa"/>
          </w:tcPr>
          <w:p>
            <w:pPr/>
            <w:r>
              <w:t xml:space="preserve">Share of total spending</w:t>
            </w:r>
          </w:p>
        </w:tc>
      </w:tr>
      <w:tr>
        <w:tc>
          <w:tcPr>
            <w:tcW w:w="2340" w:type="dxa"/>
          </w:tcPr>
          <w:p>
            <w:pPr/>
            <w:r>
              <w:t xml:space="preserve">5</w:t>
            </w:r>
          </w:p>
        </w:tc>
        <w:tc>
          <w:tcPr>
            <w:tcW w:w="2340" w:type="dxa"/>
          </w:tcPr>
          <w:p>
            <w:pPr/>
            <w:r>
              <w:t xml:space="preserve">Income vs Savings</w:t>
            </w:r>
          </w:p>
        </w:tc>
        <w:tc>
          <w:tcPr>
            <w:tcW w:w="2340" w:type="dxa"/>
          </w:tcPr>
          <w:p>
            <w:pPr/>
            <w:r>
              <w:t xml:space="preserve">Scatter</w:t>
            </w:r>
          </w:p>
        </w:tc>
        <w:tc>
          <w:tcPr>
            <w:tcW w:w="2340" w:type="dxa"/>
          </w:tcPr>
          <w:p>
            <w:pPr/>
            <w:r>
              <w:t xml:space="preserve">Relationship, coloured by risk</w:t>
            </w:r>
          </w:p>
        </w:tc>
      </w:tr>
      <w:tr>
        <w:tc>
          <w:tcPr>
            <w:tcW w:w="2340" w:type="dxa"/>
          </w:tcPr>
          <w:p>
            <w:pPr/>
            <w:r>
              <w:t xml:space="preserve">6</w:t>
            </w:r>
          </w:p>
        </w:tc>
        <w:tc>
          <w:tcPr>
            <w:tcW w:w="2340" w:type="dxa"/>
          </w:tcPr>
          <w:p>
            <w:pPr/>
            <w:r>
              <w:t xml:space="preserve">Desired Savings vs Disposable Income</w:t>
            </w:r>
          </w:p>
        </w:tc>
        <w:tc>
          <w:tcPr>
            <w:tcW w:w="2340" w:type="dxa"/>
          </w:tcPr>
          <w:p>
            <w:pPr/>
            <w:r>
              <w:t xml:space="preserve">Grouped bar</w:t>
            </w:r>
          </w:p>
        </w:tc>
        <w:tc>
          <w:tcPr>
            <w:tcW w:w="2340" w:type="dxa"/>
          </w:tcPr>
          <w:p>
            <w:pPr/>
            <w:r>
              <w:t xml:space="preserve">Gap by income quintile</w:t>
            </w:r>
          </w:p>
        </w:tc>
      </w:tr>
      <w:tr>
        <w:tc>
          <w:tcPr>
            <w:tcW w:w="2340" w:type="dxa"/>
          </w:tcPr>
          <w:p>
            <w:pPr/>
            <w:r>
              <w:t xml:space="preserve">7</w:t>
            </w:r>
          </w:p>
        </w:tc>
        <w:tc>
          <w:tcPr>
            <w:tcW w:w="2340" w:type="dxa"/>
          </w:tcPr>
          <w:p>
            <w:pPr/>
            <w:r>
              <w:t xml:space="preserve">Occupation Distribution</w:t>
            </w:r>
          </w:p>
        </w:tc>
        <w:tc>
          <w:tcPr>
            <w:tcW w:w="2340" w:type="dxa"/>
          </w:tcPr>
          <w:p>
            <w:pPr/>
            <w:r>
              <w:t xml:space="preserve">Pie</w:t>
            </w:r>
          </w:p>
        </w:tc>
        <w:tc>
          <w:tcPr>
            <w:tcW w:w="2340" w:type="dxa"/>
          </w:tcPr>
          <w:p>
            <w:pPr/>
            <w:r>
              <w:t xml:space="preserve">Household composition</w:t>
            </w:r>
          </w:p>
        </w:tc>
      </w:tr>
      <w:tr>
        <w:tc>
          <w:tcPr>
            <w:tcW w:w="2340" w:type="dxa"/>
          </w:tcPr>
          <w:p>
            <w:pPr/>
            <w:r>
              <w:t xml:space="preserve">8</w:t>
            </w:r>
          </w:p>
        </w:tc>
        <w:tc>
          <w:tcPr>
            <w:tcW w:w="2340" w:type="dxa"/>
          </w:tcPr>
          <w:p>
            <w:pPr/>
            <w:r>
              <w:t xml:space="preserve">Financial Risk Distribution</w:t>
            </w:r>
          </w:p>
        </w:tc>
        <w:tc>
          <w:tcPr>
            <w:tcW w:w="2340" w:type="dxa"/>
          </w:tcPr>
          <w:p>
            <w:pPr/>
            <w:r>
              <w:t xml:space="preserve">Doughnut</w:t>
            </w:r>
          </w:p>
        </w:tc>
        <w:tc>
          <w:tcPr>
            <w:tcW w:w="2340" w:type="dxa"/>
          </w:tcPr>
          <w:p>
            <w:pPr/>
            <w:r>
              <w:t xml:space="preserve">Healthy, Moderate, High Risk counts</w:t>
            </w:r>
          </w:p>
        </w:tc>
      </w:tr>
      <w:tr>
        <w:tc>
          <w:tcPr>
            <w:tcW w:w="2340" w:type="dxa"/>
          </w:tcPr>
          <w:p>
            <w:pPr/>
            <w:r>
              <w:t xml:space="preserve">9</w:t>
            </w:r>
          </w:p>
        </w:tc>
        <w:tc>
          <w:tcPr>
            <w:tcW w:w="2340" w:type="dxa"/>
          </w:tcPr>
          <w:p>
            <w:pPr/>
            <w:r>
              <w:t xml:space="preserve">Savings Potential Analysis</w:t>
            </w:r>
          </w:p>
        </w:tc>
        <w:tc>
          <w:tcPr>
            <w:tcW w:w="2340" w:type="dxa"/>
          </w:tcPr>
          <w:p>
            <w:pPr/>
            <w:r>
              <w:t xml:space="preserve">Bar</w:t>
            </w:r>
          </w:p>
        </w:tc>
        <w:tc>
          <w:tcPr>
            <w:tcW w:w="2340" w:type="dxa"/>
          </w:tcPr>
          <w:p>
            <w:pPr/>
            <w:r>
              <w:t xml:space="preserve">Where savings are available</w:t>
            </w:r>
          </w:p>
        </w:tc>
      </w:tr>
      <w:tr>
        <w:tc>
          <w:tcPr>
            <w:tcW w:w="2340" w:type="dxa"/>
          </w:tcPr>
          <w:p>
            <w:pPr/>
            <w:r>
              <w:t xml:space="preserve">10</w:t>
            </w:r>
          </w:p>
        </w:tc>
        <w:tc>
          <w:tcPr>
            <w:tcW w:w="2340" w:type="dxa"/>
          </w:tcPr>
          <w:p>
            <w:pPr/>
            <w:r>
              <w:t xml:space="preserve">Financial Health Score</w:t>
            </w:r>
          </w:p>
        </w:tc>
        <w:tc>
          <w:tcPr>
            <w:tcW w:w="2340" w:type="dxa"/>
          </w:tcPr>
          <w:p>
            <w:pPr/>
            <w:r>
              <w:t xml:space="preserve">Gauge</w:t>
            </w:r>
          </w:p>
        </w:tc>
        <w:tc>
          <w:tcPr>
            <w:tcW w:w="2340" w:type="dxa"/>
          </w:tcPr>
          <w:p>
            <w:pPr/>
            <w:r>
              <w:t xml:space="preserve">Average score out of 100</w:t>
            </w:r>
          </w:p>
        </w:tc>
      </w:tr>
    </w:tbl>
    <w:p>
      <w:pPr/>
      <w:r>
        <w:t xml:space="preserve">Each chart carries a one-line insight generated from the filtered data.</w:t>
      </w:r>
    </w:p>
    <w:p>
      <w:pPr>
        <w:pStyle w:val="Heading3"/>
      </w:pPr>
      <w:r>
        <w:t xml:space="preserve">6.3 Other Features</w:t>
      </w:r>
    </w:p>
    <w:p>
      <w:pPr>
        <w:pStyle w:val="ListParagraph"/>
        <w:numPr>
          <w:ilvl w:val="0"/>
          <w:numId w:val="4"/>
        </w:numPr>
      </w:pPr>
      <w:r>
        <w:rPr>
          <w:b/>
        </w:rPr>
        <w:t xml:space="preserve">Smart Financial Insights:</w:t>
      </w:r>
      <w:r>
        <w:t xml:space="preserve"> plain-language statements that change with the filters.</w:t>
      </w:r>
    </w:p>
    <w:p>
      <w:pPr>
        <w:pStyle w:val="ListParagraph"/>
        <w:numPr>
          <w:ilvl w:val="0"/>
          <w:numId w:val="4"/>
        </w:numPr>
      </w:pPr>
      <w:r>
        <w:rPr>
          <w:b/>
        </w:rPr>
        <w:t xml:space="preserve">Budget Simulator and What-If Analysis:</w:t>
      </w:r>
      <w:r>
        <w:t xml:space="preserve"> sliders for income, rent, food, transport, entertainment and savings target, with one-click scenarios such as "cut entertainment 50%".</w:t>
      </w:r>
    </w:p>
    <w:p>
      <w:pPr>
        <w:pStyle w:val="ListParagraph"/>
        <w:numPr>
          <w:ilvl w:val="0"/>
          <w:numId w:val="4"/>
        </w:numPr>
      </w:pPr>
      <w:r>
        <w:rPr>
          <w:b/>
        </w:rPr>
        <w:t xml:space="preserve">Savings Goal Planner:</w:t>
      </w:r>
      <w:r>
        <w:t xml:space="preserve"> remaining amount, monthly amount required, estimated completion date and progress ring for each goal.</w:t>
      </w:r>
    </w:p>
    <w:p>
      <w:pPr>
        <w:pStyle w:val="ListParagraph"/>
        <w:numPr>
          <w:ilvl w:val="0"/>
          <w:numId w:val="4"/>
        </w:numPr>
      </w:pPr>
      <w:r>
        <w:rPr>
          <w:b/>
        </w:rPr>
        <w:t xml:space="preserve">Export and Print:</w:t>
      </w:r>
      <w:r>
        <w:t xml:space="preserve"> CSV download of the filtered households and a print-friendly layout.</w:t>
      </w:r>
    </w:p>
    <w:p>
      <w:pPr>
        <w:pStyle w:val="Heading2"/>
      </w:pPr>
      <w:r>
        <w:t xml:space="preserve">7. Methodology and Algorithms</w:t>
      </w:r>
    </w:p>
    <w:p>
      <w:pPr>
        <w:pStyle w:val="Heading3"/>
      </w:pPr>
      <w:r>
        <w:t xml:space="preserve">7.1 Derived Values</w:t>
      </w:r>
    </w:p>
    <w:p>
      <w:pPr/>
      <w:r>
        <w:t xml:space="preserve">Total expense is the sum of the 11 expense categories. Disposable income equals income minus total expense. The savings target equals income multiplied by the desired savings percentage, and desired savings is the lower of the target and disposable income.</w:t>
      </w:r>
    </w:p>
    <w:p>
      <w:pPr>
        <w:pStyle w:val="Heading3"/>
      </w:pPr>
      <w:r>
        <w:t xml:space="preserve">7.2 Financial Health Score</w:t>
      </w:r>
    </w:p>
    <w:p>
      <w:pPr/>
      <w:r>
        <w:t xml:space="preserve">The score is a weighted rule-based formula out of 100, where clip(x) limits a value to the range 0 to 1:</w:t>
      </w:r>
    </w:p>
    <w:p>
      <w:pPr/>
      <w:r>
        <w:t xml:space="preserve">Score = 35·clip((1 − expense ratio)/0.35) + 25·(1 − savings gap) + 15·clip(1 − (debt/income)/0.3) + 15·clip(1 − (essential/income − 0.4)/0.5) + 10·clip(1 − (discretionary/income)/0.2)</w:t>
      </w:r>
    </w:p>
    <w:p>
      <w:pPr/>
      <w:r>
        <w:t xml:space="preserve">The weights reflect importance: expense ratio (35), meeting the savings target (25), debt burden (15), essential spending (15) and discretionary spending (10).</w:t>
      </w:r>
    </w:p>
    <w:p>
      <w:pPr>
        <w:pStyle w:val="Heading3"/>
      </w:pPr>
      <w:r>
        <w:t xml:space="preserve">7.3 Risk Classification</w:t>
      </w:r>
    </w:p>
    <w:p>
      <w:pPr/>
      <w:r>
        <w:t xml:space="preserve">A score of 65 or higher is </w:t>
      </w:r>
      <w:r>
        <w:rPr>
          <w:b/>
        </w:rPr>
        <w:t xml:space="preserve">Healthy</w:t>
      </w:r>
      <w:r>
        <w:t xml:space="preserve">, 40 to 64 is </w:t>
      </w:r>
      <w:r>
        <w:rPr>
          <w:b/>
        </w:rPr>
        <w:t xml:space="preserve">Moderate</w:t>
      </w:r>
      <w:r>
        <w:t xml:space="preserve">, and below 40 is </w:t>
      </w:r>
      <w:r>
        <w:rPr>
          <w:b/>
        </w:rPr>
        <w:t xml:space="preserve">High Risk</w:t>
      </w:r>
      <w:r>
        <w:t xml:space="preserve">. The Risk Factors panel shows each ratio against its healthy range, with out-of-range values highlighted in red.</w:t>
      </w:r>
    </w:p>
    <w:p>
      <w:pPr>
        <w:pStyle w:val="Heading3"/>
      </w:pPr>
      <w:r>
        <w:t xml:space="preserve">7.4 Expense and Savings Prediction</w:t>
      </w:r>
    </w:p>
    <w:p>
      <w:pPr/>
      <w:r>
        <w:t xml:space="preserve">Next-month expense is predicted with multiple linear regression:</w:t>
      </w:r>
    </w:p>
    <w:p>
      <w:pPr/>
      <w:r>
        <w:t xml:space="preserve">Expense = β₀ + β₁·income + β₂·rent + β₃·loan + β₄·insurance + β₅·dependents</w:t>
      </w:r>
    </w:p>
    <w:p>
      <w:pPr/>
      <w:r>
        <w:t xml:space="preserve">The coefficients are found with ordinary least squares by solving the normal equations (XᵀX·β = Xᵀy) using Gauss-Jordan elimination with partial pivoting. Predictors are mean-centred for numerical stability, and predictors that never vary in the selected group are dropped automatically. The model is fitted on the filtered households and evaluated at their average profile, then multiplied by 1.005 to allow for 0.5% monthly cost-of-living drift. Predicted savings equals average income minus predicted expense. The coefficient of determination (R²) sets the confidence label: 0.90 or above is High, 0.70 or above is Moderate, otherwise Low. If fewer than 30 households are selected or the system cannot be solved, the dashboard falls back to the average expense. A predicted risk score is also calculated as 100 minus the health score of the predicted budget.</w:t>
      </w:r>
    </w:p>
    <w:p>
      <w:pPr>
        <w:pStyle w:val="Heading3"/>
      </w:pPr>
      <w:r>
        <w:t xml:space="preserve">7.5 Smart Budget Recommendation and Spending Pattern</w:t>
      </w:r>
    </w:p>
    <w:p>
      <w:pPr/>
      <w:r>
        <w:t xml:space="preserve">For each category with a potential saving, the recommended amount is the current average minus the dataset's potential saving. Five percent of income is reserved as an emergency fund, and the remainder becomes recommended savings. The spending pattern analysis shows each category's share of expenses and of income, along with the split between essential and discretionary spending.</w:t>
      </w:r>
    </w:p>
    <w:p>
      <w:pPr>
        <w:pStyle w:val="Heading3"/>
      </w:pPr>
      <w:r>
        <w:t xml:space="preserve">7.6 What-If Simulation and Goal Planning</w:t>
      </w:r>
    </w:p>
    <w:p>
      <w:pPr/>
      <w:r>
        <w:t xml:space="preserve">The simulator adds slider changes to the baseline expenses, then recomputes disposable income, savings rate, health score and risk using the same formula. The goal planner calculates remaining amount (target − current), monthly amount required (remaining ÷ months until the date) and estimated completion (remaining ÷ monthly saving).</w:t>
      </w:r>
    </w:p>
    <w:p>
      <w:pPr>
        <w:pStyle w:val="Heading3"/>
      </w:pPr>
      <w:r>
        <w:t xml:space="preserve">7.7 Supporting Techniques</w:t>
      </w:r>
    </w:p>
    <w:p>
      <w:pPr/>
      <w:r>
        <w:t xml:space="preserve">Income distribution uses 12 equal bins up to the 95th percentile. The desired-versus-disposable chart groups households into five income quintiles. The scatter plot samples about 500 households for speed. A safety function converts any non-finite number to zero so that NaN or Infinity never appears on screen.</w:t>
      </w:r>
    </w:p>
    <w:p>
      <w:pPr>
        <w:pStyle w:val="Heading2"/>
      </w:pPr>
      <w:r>
        <w:t xml:space="preserve">8. User Interface and Experience</w:t>
      </w:r>
    </w:p>
    <w:p>
      <w:pPr/>
      <w:r>
        <w:t xml:space="preserve">The interface follows a professional fintech style with a flat white card layout, a single teal accent, and Inter typography with aligned numerals. A grouped sidebar with icons and a top bar showing the current section make navigation clear. A sticky filter bar summarises the active selection and the number of households matched. KPIs are presented in connected panels, each chart card has a title, subtitle and insight, and sections are numbered with short descriptions. Dark mode uses a near-black theme with a bright accent, and the layout adapts to desktop, tablet and mobile, where the sidebar becomes a slide-in menu and the filters collapse behind an Adjust button. Hover states, animated figures and smooth transitions give feedback without distracting from the data.</w:t>
      </w:r>
    </w:p>
    <w:p>
      <w:pPr>
        <w:pStyle w:val="Heading2"/>
      </w:pPr>
      <w:r>
        <w:t xml:space="preserve">9. Testing and Results</w:t>
      </w:r>
    </w:p>
    <w:p>
      <w:pPr/>
      <w:r>
        <w:t xml:space="preserve">The page was tested in an automated Chromium browser. Tests confirmed that all ten charts were created with finite data, all ten KPIs displayed, filters changed the household count and every dependent value, the simulator and goal planner worked (including invalid goal input), the CSV export contained exactly the filtered rows, dark mode switched correctly, an empty filter result showed a clear message, the mobile layout had no sideways scrolling, and no JavaScript errors occurred. The page also loaded safely when Chart.js was unreachable.</w:t>
      </w:r>
    </w:p>
    <w:p>
      <w:pPr/>
      <w:r>
        <w:t xml:space="preserve">Headline results for all 20,000 households: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Measure</w:t>
            </w:r>
          </w:p>
        </w:tc>
        <w:tc>
          <w:tcPr>
            <w:tcW w:w="4680" w:type="dxa"/>
            <w:shd w:val="clear" w:color="auto" w:fill="F2F2F2"/>
          </w:tcPr>
          <w:p>
            <w:pPr/>
            <w:r>
              <w:t xml:space="preserve">Result</w:t>
            </w:r>
          </w:p>
        </w:tc>
      </w:tr>
      <w:tr>
        <w:tc>
          <w:tcPr>
            <w:tcW w:w="4680" w:type="dxa"/>
          </w:tcPr>
          <w:p>
            <w:pPr/>
            <w:r>
              <w:t xml:space="preserve">Average monthly income</w:t>
            </w:r>
          </w:p>
        </w:tc>
        <w:tc>
          <w:tcPr>
            <w:tcW w:w="4680" w:type="dxa"/>
          </w:tcPr>
          <w:p>
            <w:pPr/>
            <w:r>
              <w:t xml:space="preserve">₹41,585</w:t>
            </w:r>
          </w:p>
        </w:tc>
      </w:tr>
      <w:tr>
        <w:tc>
          <w:tcPr>
            <w:tcW w:w="4680" w:type="dxa"/>
          </w:tcPr>
          <w:p>
            <w:pPr/>
            <w:r>
              <w:t xml:space="preserve">Average monthly expenses</w:t>
            </w:r>
          </w:p>
        </w:tc>
        <w:tc>
          <w:tcPr>
            <w:tcW w:w="4680" w:type="dxa"/>
          </w:tcPr>
          <w:p>
            <w:pPr/>
            <w:r>
              <w:t xml:space="preserve">₹30,938</w:t>
            </w:r>
          </w:p>
        </w:tc>
      </w:tr>
      <w:tr>
        <w:tc>
          <w:tcPr>
            <w:tcW w:w="4680" w:type="dxa"/>
          </w:tcPr>
          <w:p>
            <w:pPr/>
            <w:r>
              <w:t xml:space="preserve">Average disposable income</w:t>
            </w:r>
          </w:p>
        </w:tc>
        <w:tc>
          <w:tcPr>
            <w:tcW w:w="4680" w:type="dxa"/>
          </w:tcPr>
          <w:p>
            <w:pPr/>
            <w:r>
              <w:t xml:space="preserve">₹10,647</w:t>
            </w:r>
          </w:p>
        </w:tc>
      </w:tr>
      <w:tr>
        <w:tc>
          <w:tcPr>
            <w:tcW w:w="4680" w:type="dxa"/>
          </w:tcPr>
          <w:p>
            <w:pPr/>
            <w:r>
              <w:t xml:space="preserve">Savings rate (disposable ÷ income)</w:t>
            </w:r>
          </w:p>
        </w:tc>
        <w:tc>
          <w:tcPr>
            <w:tcW w:w="4680" w:type="dxa"/>
          </w:tcPr>
          <w:p>
            <w:pPr/>
            <w:r>
              <w:t xml:space="preserve">25.6%</w:t>
            </w:r>
          </w:p>
        </w:tc>
      </w:tr>
      <w:tr>
        <w:tc>
          <w:tcPr>
            <w:tcW w:w="4680" w:type="dxa"/>
          </w:tcPr>
          <w:p>
            <w:pPr/>
            <w:r>
              <w:t xml:space="preserve">Expense-to-income ratio</w:t>
            </w:r>
          </w:p>
        </w:tc>
        <w:tc>
          <w:tcPr>
            <w:tcW w:w="4680" w:type="dxa"/>
          </w:tcPr>
          <w:p>
            <w:pPr/>
            <w:r>
              <w:t xml:space="preserve">74.4%</w:t>
            </w:r>
          </w:p>
        </w:tc>
      </w:tr>
      <w:tr>
        <w:tc>
          <w:tcPr>
            <w:tcW w:w="4680" w:type="dxa"/>
          </w:tcPr>
          <w:p>
            <w:pPr/>
            <w:r>
              <w:t xml:space="preserve">Households below their savings target</w:t>
            </w:r>
          </w:p>
        </w:tc>
        <w:tc>
          <w:tcPr>
            <w:tcW w:w="4680" w:type="dxa"/>
          </w:tcPr>
          <w:p>
            <w:pPr/>
            <w:r>
              <w:t xml:space="preserve">8%</w:t>
            </w:r>
          </w:p>
        </w:tc>
      </w:tr>
      <w:tr>
        <w:tc>
          <w:tcPr>
            <w:tcW w:w="4680" w:type="dxa"/>
          </w:tcPr>
          <w:p>
            <w:pPr/>
            <w:r>
              <w:t xml:space="preserve">Largest expense category</w:t>
            </w:r>
          </w:p>
        </w:tc>
        <w:tc>
          <w:tcPr>
            <w:tcW w:w="4680" w:type="dxa"/>
          </w:tcPr>
          <w:p>
            <w:pPr/>
            <w:r>
              <w:t xml:space="preserve">Rent (about ₹9,115 per month)</w:t>
            </w:r>
          </w:p>
        </w:tc>
      </w:tr>
      <w:tr>
        <w:tc>
          <w:tcPr>
            <w:tcW w:w="4680" w:type="dxa"/>
          </w:tcPr>
          <w:p>
            <w:pPr/>
            <w:r>
              <w:t xml:space="preserve">Average health score</w:t>
            </w:r>
          </w:p>
        </w:tc>
        <w:tc>
          <w:tcPr>
            <w:tcW w:w="4680" w:type="dxa"/>
          </w:tcPr>
          <w:p>
            <w:pPr/>
            <w:r>
              <w:t xml:space="preserve">76 / 100 (Healthy)</w:t>
            </w:r>
          </w:p>
        </w:tc>
      </w:tr>
      <w:tr>
        <w:tc>
          <w:tcPr>
            <w:tcW w:w="4680" w:type="dxa"/>
          </w:tcPr>
          <w:p>
            <w:pPr/>
            <w:r>
              <w:t xml:space="preserve">Predicted next-month expense</w:t>
            </w:r>
          </w:p>
        </w:tc>
        <w:tc>
          <w:tcPr>
            <w:tcW w:w="4680" w:type="dxa"/>
          </w:tcPr>
          <w:p>
            <w:pPr/>
            <w:r>
              <w:t xml:space="preserve">₹31,093</w:t>
            </w:r>
          </w:p>
        </w:tc>
      </w:tr>
      <w:tr>
        <w:tc>
          <w:tcPr>
            <w:tcW w:w="4680" w:type="dxa"/>
          </w:tcPr>
          <w:p>
            <w:pPr/>
            <w:r>
              <w:t xml:space="preserve">Predicted next-month savings</w:t>
            </w:r>
          </w:p>
        </w:tc>
        <w:tc>
          <w:tcPr>
            <w:tcW w:w="4680" w:type="dxa"/>
          </w:tcPr>
          <w:p>
            <w:pPr/>
            <w:r>
              <w:t xml:space="preserve">₹10,493</w:t>
            </w:r>
          </w:p>
        </w:tc>
      </w:tr>
      <w:tr>
        <w:tc>
          <w:tcPr>
            <w:tcW w:w="4680" w:type="dxa"/>
          </w:tcPr>
          <w:p>
            <w:pPr/>
            <w:r>
              <w:t xml:space="preserve">Regression R²</w:t>
            </w:r>
          </w:p>
        </w:tc>
        <w:tc>
          <w:tcPr>
            <w:tcW w:w="4680" w:type="dxa"/>
          </w:tcPr>
          <w:p>
            <w:pPr/>
            <w:r>
              <w:t xml:space="preserve">0.995 (High confidence)</w:t>
            </w:r>
          </w:p>
        </w:tc>
      </w:tr>
    </w:tbl>
    <w:p>
      <w:pPr/>
      <w:r>
        <w:t xml:space="preserve">The results show that rent dominates household spending, most households are financially healthy, and the regression explains almost all variation in expenses because income, rent and fixed obligations are strong drivers of total spending.</w:t>
      </w:r>
    </w:p>
    <w:p>
      <w:pPr>
        <w:pStyle w:val="Heading2"/>
      </w:pPr>
      <w:r>
        <w:t xml:space="preserve">10. Limitations</w:t>
      </w:r>
    </w:p>
    <w:p>
      <w:pPr>
        <w:pStyle w:val="ListParagraph"/>
        <w:numPr>
          <w:ilvl w:val="0"/>
          <w:numId w:val="5"/>
        </w:numPr>
      </w:pPr>
      <w:r>
        <w:t xml:space="preserve">The dataset is a one-time snapshot with no monthly history, so true time-series trends cannot be shown.</w:t>
      </w:r>
    </w:p>
    <w:p>
      <w:pPr>
        <w:pStyle w:val="ListParagraph"/>
        <w:numPr>
          <w:ilvl w:val="0"/>
          <w:numId w:val="5"/>
        </w:numPr>
      </w:pPr>
      <w:r>
        <w:t xml:space="preserve">The prediction is a statistical regression fitted in the browser, not a trained machine-learning model, and R² is measured on the same data used for fitting.</w:t>
      </w:r>
    </w:p>
    <w:p>
      <w:pPr>
        <w:pStyle w:val="ListParagraph"/>
        <w:numPr>
          <w:ilvl w:val="0"/>
          <w:numId w:val="5"/>
        </w:numPr>
      </w:pPr>
      <w:r>
        <w:t xml:space="preserve">The health score and risk levels follow fixed rules and weights chosen for transparency rather than learned from outcomes.</w:t>
      </w:r>
    </w:p>
    <w:p>
      <w:pPr>
        <w:pStyle w:val="ListParagraph"/>
        <w:numPr>
          <w:ilvl w:val="0"/>
          <w:numId w:val="5"/>
        </w:numPr>
      </w:pPr>
      <w:r>
        <w:t xml:space="preserve">Savings goals are stored only in the user's own browser.</w:t>
      </w:r>
    </w:p>
    <w:p>
      <w:pPr>
        <w:pStyle w:val="ListParagraph"/>
        <w:numPr>
          <w:ilvl w:val="0"/>
          <w:numId w:val="5"/>
        </w:numPr>
      </w:pPr>
      <w:r>
        <w:t xml:space="preserve">Chart.js and fonts require an internet connection on first load.</w:t>
      </w:r>
    </w:p>
    <w:p>
      <w:pPr>
        <w:pStyle w:val="Heading2"/>
      </w:pPr>
      <w:r>
        <w:t xml:space="preserve">11. Future Scope</w:t>
      </w:r>
    </w:p>
    <w:p>
      <w:pPr>
        <w:pStyle w:val="ListParagraph"/>
        <w:numPr>
          <w:ilvl w:val="0"/>
          <w:numId w:val="6"/>
        </w:numPr>
      </w:pPr>
      <w:r>
        <w:t xml:space="preserve">Add a Python backend with scikit-learn models such as Random Forest for expense prediction and risk classification, and Isolation Forest for unusual-spending detection.</w:t>
      </w:r>
    </w:p>
    <w:p>
      <w:pPr>
        <w:pStyle w:val="ListParagraph"/>
        <w:numPr>
          <w:ilvl w:val="0"/>
          <w:numId w:val="6"/>
        </w:numPr>
      </w:pPr>
      <w:r>
        <w:t xml:space="preserve">Evaluate models with a train/test split and report MAE, RMSE, accuracy and F1 score.</w:t>
      </w:r>
    </w:p>
    <w:p>
      <w:pPr>
        <w:pStyle w:val="ListParagraph"/>
        <w:numPr>
          <w:ilvl w:val="0"/>
          <w:numId w:val="6"/>
        </w:numPr>
      </w:pPr>
      <w:r>
        <w:t xml:space="preserve">Store personal data in a database with user accounts and track real monthly history.</w:t>
      </w:r>
    </w:p>
    <w:p>
      <w:pPr>
        <w:pStyle w:val="ListParagraph"/>
        <w:numPr>
          <w:ilvl w:val="0"/>
          <w:numId w:val="6"/>
        </w:numPr>
      </w:pPr>
      <w:r>
        <w:t xml:space="preserve">Add personal finance input mode, alerts and PDF report generation.</w:t>
      </w:r>
    </w:p>
    <w:p>
      <w:pPr>
        <w:pStyle w:val="ListParagraph"/>
        <w:numPr>
          <w:ilvl w:val="0"/>
          <w:numId w:val="6"/>
        </w:numPr>
      </w:pPr>
      <w:r>
        <w:t xml:space="preserve">Connect to bank or expense-app data for automatic updates.</w:t>
      </w:r>
    </w:p>
    <w:p>
      <w:pPr>
        <w:pStyle w:val="Heading2"/>
      </w:pPr>
      <w:r>
        <w:t xml:space="preserve">12. Conclusion</w:t>
      </w:r>
    </w:p>
    <w:p>
      <w:pPr/>
      <w:r>
        <w:t xml:space="preserve">The project delivers a complete, interactive financial analytics dashboard using only HTML5, CSS3, JavaScript and Chart.js. It converts a large household dataset into clear visuals, understandable scores, predictions and practical recommendations, and every part of the output responds to the user's filters. Because the methods are transparent and fully explained, the system is easy to demonstrate, verify and extend. It meets the objectives of analysing spending behaviour, estimating future expenses and savings, and guiding users towards smarter budgeting.</w:t>
      </w:r>
    </w:p>
    <w:p>
      <w:pPr>
        <w:pStyle w:val="Heading2"/>
      </w:pPr>
      <w:r>
        <w:t xml:space="preserve">13. References</w:t>
      </w:r>
    </w:p>
    <w:p>
      <w:pPr>
        <w:pStyle w:val="ListParagraph"/>
        <w:numPr>
          <w:ilvl w:val="0"/>
          <w:numId w:val="7"/>
        </w:numPr>
      </w:pPr>
      <w:r>
        <w:t xml:space="preserve">Chart.js documentation, https://www.chartjs.org/docs/</w:t>
      </w:r>
    </w:p>
    <w:p>
      <w:pPr>
        <w:pStyle w:val="ListParagraph"/>
        <w:numPr>
          <w:ilvl w:val="0"/>
          <w:numId w:val="7"/>
        </w:numPr>
      </w:pPr>
      <w:r>
        <w:t xml:space="preserve">MDN Web Docs: HTML, CSS and JavaScript, https://developer.mozilla.org/</w:t>
      </w:r>
    </w:p>
    <w:p>
      <w:pPr>
        <w:pStyle w:val="ListParagraph"/>
        <w:numPr>
          <w:ilvl w:val="0"/>
          <w:numId w:val="7"/>
        </w:numPr>
      </w:pPr>
      <w:r>
        <w:t xml:space="preserve">Montgomery, D., Peck, E., Vining, G., </w:t>
      </w:r>
      <w:r>
        <w:rPr>
          <w:i/>
        </w:rPr>
        <w:t xml:space="preserve">Introduction to Linear Regression Analysis</w:t>
      </w:r>
      <w:r>
        <w:t xml:space="preserve">, Wiley.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AI-Powered Financial Budget Tracking &amp; Smart Savings Analytics Dashboard</dc:title>
  <dc:description>Claude Docs node/4f056eca-508f@1 docx-w6</dc:description>
  <cp:revision>1</cp:revision>
</cp:coreProperties>
</file>