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92A0" w14:textId="77777777" w:rsidR="0000374F" w:rsidRDefault="00000000">
      <w:pPr>
        <w:spacing w:before="2200"/>
        <w:jc w:val="center"/>
      </w:pPr>
      <w:r>
        <w:rPr>
          <w:b/>
          <w:bCs/>
          <w:color w:val="1F3864"/>
          <w:sz w:val="52"/>
          <w:szCs w:val="52"/>
        </w:rPr>
        <w:t>RF Digital Twin for Network Planning</w:t>
      </w:r>
    </w:p>
    <w:p w14:paraId="6873A325" w14:textId="77777777" w:rsidR="0000374F" w:rsidRDefault="00000000">
      <w:pPr>
        <w:spacing w:before="120" w:after="100"/>
        <w:jc w:val="center"/>
      </w:pPr>
      <w:r>
        <w:rPr>
          <w:b/>
          <w:bCs/>
          <w:color w:val="1F3864"/>
          <w:sz w:val="52"/>
          <w:szCs w:val="52"/>
        </w:rPr>
        <w:t>and Self-Healing</w:t>
      </w:r>
    </w:p>
    <w:p w14:paraId="3746A3ED" w14:textId="77777777" w:rsidR="0000374F" w:rsidRDefault="00000000">
      <w:pPr>
        <w:spacing w:before="200" w:after="600"/>
        <w:jc w:val="center"/>
      </w:pPr>
      <w:r>
        <w:rPr>
          <w:color w:val="595959"/>
          <w:sz w:val="24"/>
          <w:szCs w:val="24"/>
        </w:rPr>
        <w:t>Coverage Optimization, Outage Recovery, Sparse Radio-Map Reconstruction,</w:t>
      </w:r>
    </w:p>
    <w:p w14:paraId="2C0B91A4" w14:textId="77777777" w:rsidR="0000374F" w:rsidRDefault="00000000">
      <w:pPr>
        <w:jc w:val="center"/>
      </w:pPr>
      <w:proofErr w:type="spellStart"/>
      <w:r>
        <w:rPr>
          <w:color w:val="595959"/>
          <w:sz w:val="24"/>
          <w:szCs w:val="24"/>
        </w:rPr>
        <w:t>mmWave</w:t>
      </w:r>
      <w:proofErr w:type="spellEnd"/>
      <w:r>
        <w:rPr>
          <w:color w:val="595959"/>
          <w:sz w:val="24"/>
          <w:szCs w:val="24"/>
        </w:rPr>
        <w:t xml:space="preserve"> Beam Management, and Handover Tuning on Ray-Traced Channel Data</w:t>
      </w:r>
    </w:p>
    <w:p w14:paraId="52DF128D" w14:textId="77777777" w:rsidR="0000374F" w:rsidRDefault="00000000">
      <w:pPr>
        <w:spacing w:before="1000"/>
        <w:jc w:val="center"/>
      </w:pPr>
      <w:r>
        <w:rPr>
          <w:b/>
          <w:bCs/>
          <w:sz w:val="28"/>
          <w:szCs w:val="28"/>
        </w:rPr>
        <w:t>Project Report</w:t>
      </w:r>
    </w:p>
    <w:p w14:paraId="52D77A1F" w14:textId="77777777" w:rsidR="0000374F" w:rsidRDefault="00000000">
      <w:pPr>
        <w:spacing w:before="200"/>
        <w:jc w:val="center"/>
      </w:pPr>
      <w:r>
        <w:rPr>
          <w:color w:val="595959"/>
          <w:sz w:val="20"/>
          <w:szCs w:val="20"/>
        </w:rPr>
        <w:t xml:space="preserve">Data source: </w:t>
      </w:r>
      <w:proofErr w:type="spellStart"/>
      <w:r>
        <w:rPr>
          <w:color w:val="595959"/>
          <w:sz w:val="20"/>
          <w:szCs w:val="20"/>
        </w:rPr>
        <w:t>DeepMIMO</w:t>
      </w:r>
      <w:proofErr w:type="spellEnd"/>
      <w:r>
        <w:rPr>
          <w:color w:val="595959"/>
          <w:sz w:val="20"/>
          <w:szCs w:val="20"/>
        </w:rPr>
        <w:t xml:space="preserve"> v4 — Scenario city_9_sanfrancisco_3p5 (3.5 GHz, C-band)</w:t>
      </w:r>
    </w:p>
    <w:p w14:paraId="2F74DB5E" w14:textId="77777777" w:rsidR="0000374F" w:rsidRDefault="00000000">
      <w:pPr>
        <w:spacing w:before="100"/>
        <w:jc w:val="center"/>
      </w:pPr>
      <w:r>
        <w:rPr>
          <w:color w:val="595959"/>
          <w:sz w:val="20"/>
          <w:szCs w:val="20"/>
        </w:rPr>
        <w:t>3 base stations · 40,376 candidate user locations · 53.6% ray-traced eligibility</w:t>
      </w:r>
    </w:p>
    <w:p w14:paraId="31107267" w14:textId="77777777" w:rsidR="0000374F" w:rsidRDefault="00000000">
      <w:pPr>
        <w:spacing w:before="2000"/>
        <w:jc w:val="center"/>
      </w:pPr>
      <w:r>
        <w:rPr>
          <w:color w:val="595959"/>
          <w:sz w:val="20"/>
          <w:szCs w:val="20"/>
        </w:rPr>
        <w:t>September 2026</w:t>
      </w:r>
    </w:p>
    <w:p w14:paraId="5F01974F" w14:textId="77777777" w:rsidR="0000374F" w:rsidRDefault="00000000">
      <w:r>
        <w:br w:type="page"/>
      </w:r>
    </w:p>
    <w:p w14:paraId="5B168CE3" w14:textId="77777777" w:rsidR="0000374F" w:rsidRDefault="0000374F">
      <w:pPr>
        <w:sectPr w:rsidR="0000374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27BC7B" w14:textId="77777777" w:rsidR="0000374F" w:rsidRDefault="00000000" w:rsidP="00F325C5">
      <w:pPr>
        <w:pStyle w:val="Heading1"/>
        <w:jc w:val="both"/>
      </w:pPr>
      <w:r>
        <w:lastRenderedPageBreak/>
        <w:t>1. Executive Summary</w:t>
      </w:r>
    </w:p>
    <w:p w14:paraId="0E767043" w14:textId="77777777" w:rsidR="0000374F" w:rsidRDefault="00000000" w:rsidP="00F325C5">
      <w:pPr>
        <w:spacing w:after="160"/>
        <w:jc w:val="both"/>
      </w:pPr>
      <w:r>
        <w:t xml:space="preserve">This project builds a ray-traced “digital twin” of a live wireless network segment using </w:t>
      </w:r>
      <w:proofErr w:type="spellStart"/>
      <w:r>
        <w:t>DeepMIMO</w:t>
      </w:r>
      <w:proofErr w:type="spellEnd"/>
      <w:r>
        <w:t xml:space="preserve"> channel data, and uses it to answer five questions a radio-access-network (RAN) engineering team faces in practice: where to place sites, how a network survives a site outage, how to estimate coverage from sparse field measurements, how to cut </w:t>
      </w:r>
      <w:proofErr w:type="spellStart"/>
      <w:r>
        <w:t>mmWave</w:t>
      </w:r>
      <w:proofErr w:type="spellEnd"/>
      <w:r>
        <w:t xml:space="preserve"> beam-training overhead, and how to tune mobility parameters. All results in this report, except where explicitly marked “synthetic validation,” come from real ray-traced propagation data for a dense urban San Francisco scenario (</w:t>
      </w:r>
      <w:proofErr w:type="spellStart"/>
      <w:r>
        <w:t>DeepMIMO</w:t>
      </w:r>
      <w:proofErr w:type="spellEnd"/>
      <w:r>
        <w:t xml:space="preserve"> scenario city_9_sanfrancisco_3p5, 3.5 GHz).</w:t>
      </w:r>
    </w:p>
    <w:p w14:paraId="70BD68F1" w14:textId="77777777" w:rsidR="0000374F" w:rsidRDefault="00000000" w:rsidP="00F325C5">
      <w:pPr>
        <w:spacing w:after="160"/>
        <w:jc w:val="both"/>
      </w:pPr>
      <w:r>
        <w:t>Headline findings:</w:t>
      </w:r>
    </w:p>
    <w:p w14:paraId="2D6FE501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Beam management: an ML model that predicts the best transmit beam from user position and geometry reduces mean beamforming-gain loss from 23.7 dB to 6.1 dB versus a purely geometric baseline, at the same 87.5% reduction in beam-sweep overhead.</w:t>
      </w:r>
    </w:p>
    <w:p w14:paraId="38B13027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Outage resilience: the busiest site (BS0) carries 6.6 percentage points of coverage on its own; a simple </w:t>
      </w:r>
      <w:proofErr w:type="spellStart"/>
      <w:r>
        <w:t>neighbor</w:t>
      </w:r>
      <w:proofErr w:type="spellEnd"/>
      <w:r>
        <w:t xml:space="preserve"> power-boost self-healing rule recovers 54% of the coverage lost when it fails.</w:t>
      </w:r>
    </w:p>
    <w:p w14:paraId="00912B61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Radio-map reconstruction: gradient boosting and Gaussian-process kriging cut coverage-map error roughly in half versus a naive distance-based estimate, from measurements covering only 5% of the area.</w:t>
      </w:r>
    </w:p>
    <w:p w14:paraId="5C39C83B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Site planning: the existing 3-site deployment tops out at 78.5% coverage; a 95% target is mathematically infeasible without adding sites — a concrete, quantified capital-planning input.</w:t>
      </w:r>
    </w:p>
    <w:p w14:paraId="2FC36EC8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Handover tuning: the optimal parameter pair (6 dB hysteresis, 0.4 s time-to-trigger) is consistent across vehicle and pedestrian speeds, but the failure mode differs — slow users suffer more radio-link failures because they dwell longer inside coverage holes, while fast users suffer more ping-pong handovers.</w:t>
      </w:r>
    </w:p>
    <w:p w14:paraId="777DAA72" w14:textId="77777777" w:rsidR="0000374F" w:rsidRDefault="00000000" w:rsidP="00F325C5">
      <w:pPr>
        <w:pStyle w:val="Heading1"/>
        <w:jc w:val="both"/>
      </w:pPr>
      <w:r>
        <w:t>2. Motivation and Scope</w:t>
      </w:r>
    </w:p>
    <w:p w14:paraId="2B00D5AB" w14:textId="77777777" w:rsidR="0000374F" w:rsidRDefault="00000000" w:rsidP="00F325C5">
      <w:pPr>
        <w:spacing w:after="160"/>
        <w:jc w:val="both"/>
      </w:pPr>
      <w:r>
        <w:t xml:space="preserve">Radio-access engineers routinely face five recurring questions: where to add or prioritize sites under a coverage or capacity target; how much service degrades when a site goes down and whether it can be compensated without a truck roll; how to estimate full-area coverage from the limited drive-test or minimization-of-drive-test (MDT) samples actually available; how to reduce </w:t>
      </w:r>
      <w:proofErr w:type="spellStart"/>
      <w:r>
        <w:t>mmWave</w:t>
      </w:r>
      <w:proofErr w:type="spellEnd"/>
      <w:r>
        <w:t xml:space="preserve"> beam-sweep overhead without sacrificing link quality; and how to set handover thresholds that balance signalling load against dropped-call risk.</w:t>
      </w:r>
    </w:p>
    <w:p w14:paraId="5A11DD82" w14:textId="77777777" w:rsidR="0000374F" w:rsidRDefault="00000000" w:rsidP="00F325C5">
      <w:pPr>
        <w:spacing w:after="160"/>
        <w:jc w:val="both"/>
      </w:pPr>
      <w:r>
        <w:t xml:space="preserve">This project treats one ray-traced scenario as a stand-in for a live market and builds a self-contained analysis pipeline that answers all five questions from a single, shared data foundation — rather than five disconnected exercises. The same channel data, propagation model, and coverage definition feed every module, so results are directly comparable across modules (e.g., the same 3 sites that struggle to reach 95% coverage are the same 3 sites whose outage impact and healing potential are </w:t>
      </w:r>
      <w:proofErr w:type="spellStart"/>
      <w:r>
        <w:t>analyzed</w:t>
      </w:r>
      <w:proofErr w:type="spellEnd"/>
      <w:r>
        <w:t xml:space="preserve"> in Section 4).</w:t>
      </w:r>
    </w:p>
    <w:p w14:paraId="7A6B9CA4" w14:textId="77777777" w:rsidR="0000374F" w:rsidRDefault="00000000" w:rsidP="00F325C5">
      <w:pPr>
        <w:pStyle w:val="Heading1"/>
        <w:jc w:val="both"/>
      </w:pPr>
      <w:r>
        <w:t>3. Data and Methodology</w:t>
      </w:r>
    </w:p>
    <w:p w14:paraId="0D65264F" w14:textId="77777777" w:rsidR="0000374F" w:rsidRDefault="00000000" w:rsidP="00F325C5">
      <w:pPr>
        <w:pStyle w:val="Heading2"/>
        <w:jc w:val="both"/>
      </w:pPr>
      <w:r>
        <w:t>3.1 Data source</w:t>
      </w:r>
    </w:p>
    <w:p w14:paraId="7C7B595F" w14:textId="77777777" w:rsidR="0000374F" w:rsidRDefault="00000000" w:rsidP="00F325C5">
      <w:pPr>
        <w:spacing w:after="160"/>
        <w:jc w:val="both"/>
      </w:pPr>
      <w:r>
        <w:t xml:space="preserve">Channel data comes from </w:t>
      </w:r>
      <w:proofErr w:type="spellStart"/>
      <w:r>
        <w:t>DeepMIMO</w:t>
      </w:r>
      <w:proofErr w:type="spellEnd"/>
      <w:r>
        <w:t xml:space="preserve"> v4, a public ray-tracing-based channel dataset generator built on Wireless InSite. The scenario used, city_9_sanfrancisco_3p5, ray-traces a real street segment of San Francisco at 3.5 GHz — squarely in Verizon’s deployed C-band spectrum. The scenario provides:</w:t>
      </w:r>
    </w:p>
    <w:p w14:paraId="232085F4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3 base station (BS) sites, each with a fixed position.</w:t>
      </w:r>
    </w:p>
    <w:p w14:paraId="31BF9F9C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lastRenderedPageBreak/>
        <w:t>40,376 candidate user-equipment (UE) locations on a uniform grid over roughly 200 m × 200 m of a dense urban block, including street canyons and building interiors.</w:t>
      </w:r>
    </w:p>
    <w:p w14:paraId="1F5ADF78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Per-BS/UE path loss, line-of-sight (</w:t>
      </w:r>
      <w:proofErr w:type="spellStart"/>
      <w:r>
        <w:t>LoS</w:t>
      </w:r>
      <w:proofErr w:type="spellEnd"/>
      <w:r>
        <w:t>) state, and up to 10 resolved multipath components (power, phase, angle of departure) per link, from which every KPI in this report is derived.</w:t>
      </w:r>
    </w:p>
    <w:p w14:paraId="7C3BB01E" w14:textId="77777777" w:rsidR="0000374F" w:rsidRDefault="00000000" w:rsidP="00F325C5">
      <w:pPr>
        <w:spacing w:after="160"/>
        <w:jc w:val="both"/>
      </w:pPr>
      <w:r>
        <w:t>Only 53.6% of UE locations are “eligible” — reachable by at least one BS in the ray-tracing data. The remainder are inside buildings or in radio shadow with no resolvable path; these are excluded from every coverage statistic (</w:t>
      </w:r>
      <w:proofErr w:type="spellStart"/>
      <w:r>
        <w:t>Twin.eligible</w:t>
      </w:r>
      <w:proofErr w:type="spellEnd"/>
      <w:r>
        <w:t xml:space="preserve"> in the code), rather than being counted as artificial 0% coverage, since they do not correspond to real serviceable outdoor/indoor locations.</w:t>
      </w:r>
    </w:p>
    <w:p w14:paraId="18E07193" w14:textId="77777777" w:rsidR="0000374F" w:rsidRDefault="00000000" w:rsidP="00F325C5">
      <w:pPr>
        <w:pStyle w:val="Heading2"/>
        <w:jc w:val="both"/>
      </w:pPr>
      <w:r>
        <w:t>3.2 From channels to network KPIs</w:t>
      </w:r>
    </w:p>
    <w:p w14:paraId="7571E5D9" w14:textId="77777777" w:rsidR="0000374F" w:rsidRDefault="00000000" w:rsidP="00F325C5">
      <w:pPr>
        <w:spacing w:after="160"/>
        <w:jc w:val="both"/>
      </w:pPr>
      <w:proofErr w:type="spellStart"/>
      <w:r>
        <w:t>DeepMIMO</w:t>
      </w:r>
      <w:proofErr w:type="spellEnd"/>
      <w:r>
        <w:t xml:space="preserve"> supplies path loss between isotropic antennas. To get to the KPIs a RAN engineer actually works with, the following link-budget assumptions were layered on top (see </w:t>
      </w:r>
      <w:proofErr w:type="spellStart"/>
      <w:r>
        <w:t>RadioConfig</w:t>
      </w:r>
      <w:proofErr w:type="spellEnd"/>
      <w:r>
        <w:t xml:space="preserve"> in the codebase) and held constant across every module unless stated otherwise: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200"/>
      </w:tblGrid>
      <w:tr w:rsidR="0000374F" w14:paraId="06215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BA0AE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00DF3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C-band value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3FBD7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00374F" w14:paraId="121530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A675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Carrier frequency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C299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3.5 GHz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22CE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 xml:space="preserve">Matches Verizon’s C-band deployment; </w:t>
            </w:r>
            <w:proofErr w:type="gramStart"/>
            <w:r>
              <w:rPr>
                <w:color w:val="000000"/>
              </w:rPr>
              <w:t>also</w:t>
            </w:r>
            <w:proofErr w:type="gramEnd"/>
            <w:r>
              <w:rPr>
                <w:color w:val="000000"/>
              </w:rPr>
              <w:t xml:space="preserve"> the scenario’s native frequency</w:t>
            </w:r>
          </w:p>
        </w:tc>
      </w:tr>
      <w:tr w:rsidR="0000374F" w14:paraId="16DBD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534EB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Bandwidth / SCS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FA15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100 MHz / 30 kHz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5C1E2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Typical mid-band 5G NR channel</w:t>
            </w:r>
          </w:p>
        </w:tc>
      </w:tr>
      <w:tr w:rsidR="0000374F" w14:paraId="7EFCA4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D92D7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Tx power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E8C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43 dBm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9CEA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Typical macro site total conducted power</w:t>
            </w:r>
          </w:p>
        </w:tc>
      </w:tr>
      <w:tr w:rsidR="0000374F" w14:paraId="2D046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4BCB5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Tx antenna gain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4E4A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15 dB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01AE5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Typical sectorized/array gain</w:t>
            </w:r>
          </w:p>
        </w:tc>
      </w:tr>
      <w:tr w:rsidR="0000374F" w14:paraId="1B8C6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1AF18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Noise figure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DE99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7 dB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653DE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Typical base station receiver</w:t>
            </w:r>
          </w:p>
        </w:tc>
      </w:tr>
      <w:tr w:rsidR="0000374F" w14:paraId="709E52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225F4" w14:textId="77777777" w:rsidR="0000374F" w:rsidRDefault="00000000" w:rsidP="00F325C5">
            <w:pPr>
              <w:jc w:val="both"/>
            </w:pPr>
            <w:proofErr w:type="spellStart"/>
            <w:r>
              <w:rPr>
                <w:color w:val="000000"/>
              </w:rPr>
              <w:t>Neighbor</w:t>
            </w:r>
            <w:proofErr w:type="spellEnd"/>
            <w:r>
              <w:rPr>
                <w:color w:val="000000"/>
              </w:rPr>
              <w:t>-cell load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E991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0.6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B371E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Assumed average PRB utilization driving interference</w:t>
            </w:r>
          </w:p>
        </w:tc>
      </w:tr>
      <w:tr w:rsidR="0000374F" w14:paraId="6B8331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9ED0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Coverage threshold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74C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RSRP ≥ −105 dBm and SINR ≥ 0 dB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5386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Conservative reference thresholds for a usable connection</w:t>
            </w:r>
          </w:p>
        </w:tc>
      </w:tr>
    </w:tbl>
    <w:p w14:paraId="22FF3179" w14:textId="77777777" w:rsidR="0000374F" w:rsidRDefault="00000000" w:rsidP="00F325C5">
      <w:pPr>
        <w:spacing w:after="160"/>
        <w:jc w:val="both"/>
      </w:pPr>
      <w:r>
        <w:t>Best-server RSRP and SINR are computed per location by combining every BS’s ray-traced path loss with this link budget; spectral efficiency uses an attenuated-Shannon mapping (3GPP TR 36.942 style, capped at 7.4 bits/s/Hz) to avoid the unrealistic throughput that raw Shannon capacity gives at high SINR.</w:t>
      </w:r>
    </w:p>
    <w:p w14:paraId="3319BB03" w14:textId="77777777" w:rsidR="0000374F" w:rsidRDefault="00000000" w:rsidP="00F325C5">
      <w:pPr>
        <w:pStyle w:val="Heading2"/>
        <w:jc w:val="both"/>
      </w:pPr>
      <w:r>
        <w:t>3.3 Software and validation</w:t>
      </w:r>
    </w:p>
    <w:p w14:paraId="7D282393" w14:textId="77777777" w:rsidR="0000374F" w:rsidRDefault="00000000" w:rsidP="00F325C5">
      <w:pPr>
        <w:spacing w:after="160"/>
        <w:jc w:val="both"/>
      </w:pPr>
      <w:r>
        <w:t>The pipeline is a Python package (</w:t>
      </w:r>
      <w:proofErr w:type="spellStart"/>
      <w:r>
        <w:t>rftwin</w:t>
      </w:r>
      <w:proofErr w:type="spellEnd"/>
      <w:r>
        <w:t>) with one module per analysis (site selection, outage/healing, radio-map reconstruction, beam management, handover), a shared KPI engine, and a synthetic 3GPP-UMa-based data generator used only to unit-test the pipeline end-to-end before touching real data. Seven automated tests cover every module. Two implementation issues were caught and corrected during development against real data specifically:</w:t>
      </w:r>
    </w:p>
    <w:p w14:paraId="07E9B52B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 beam-channel bug where </w:t>
      </w:r>
      <w:proofErr w:type="spellStart"/>
      <w:r>
        <w:t>DeepMIMO’s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-padded “missing path” slots (present for nearly every real user, who has far fewer than the maximum 10 resolvable paths) were multiplying zero power by </w:t>
      </w:r>
      <w:proofErr w:type="spellStart"/>
      <w:r>
        <w:t>NaN</w:t>
      </w:r>
      <w:proofErr w:type="spellEnd"/>
      <w:r>
        <w:t xml:space="preserve"> angles, silently corrupting every user’s beam-gain calculation. Fixed by zeroing the angle fields for invalid path slots, not just the power.</w:t>
      </w:r>
    </w:p>
    <w:p w14:paraId="2BD7E25A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lastRenderedPageBreak/>
        <w:t>A kriging length-scale bound tuned for a 1.4 km synthetic grid that was far too coarse for this scenario’s ~200 m urban block, causing the Gaussian process to collapse to a near-flat fit. Fixed by scaling the bound to the map’s own spatial extent.</w:t>
      </w:r>
    </w:p>
    <w:p w14:paraId="14136539" w14:textId="77777777" w:rsidR="0000374F" w:rsidRDefault="00000000" w:rsidP="00F325C5">
      <w:pPr>
        <w:spacing w:after="160"/>
        <w:jc w:val="both"/>
      </w:pPr>
      <w:r>
        <w:rPr>
          <w:i/>
          <w:iCs/>
          <w:color w:val="595959"/>
          <w:sz w:val="20"/>
          <w:szCs w:val="20"/>
        </w:rPr>
        <w:t>Both are noted here because the debugging process — catching a model that quietly returns wrong numbers instead of an error, and a hyperparameter that silently fails to generalize across map scales — is itself representative RF/ML engineering work.</w:t>
      </w:r>
    </w:p>
    <w:p w14:paraId="471EFCF8" w14:textId="77777777" w:rsidR="0000374F" w:rsidRDefault="00000000" w:rsidP="00F325C5">
      <w:pPr>
        <w:pStyle w:val="Heading1"/>
        <w:jc w:val="both"/>
      </w:pPr>
      <w:r>
        <w:t>4. Module 1 — Site Selection and Coverage Planning</w:t>
      </w:r>
    </w:p>
    <w:p w14:paraId="0ADB97F4" w14:textId="77777777" w:rsidR="0000374F" w:rsidRDefault="00000000" w:rsidP="00F325C5">
      <w:pPr>
        <w:spacing w:after="160"/>
        <w:jc w:val="both"/>
      </w:pPr>
      <w:r>
        <w:t>Question: given a coverage target, which sites should be active, and how many are needed?</w:t>
      </w:r>
    </w:p>
    <w:p w14:paraId="256127A9" w14:textId="77777777" w:rsidR="0000374F" w:rsidRDefault="00000000" w:rsidP="00F325C5">
      <w:pPr>
        <w:spacing w:after="160"/>
        <w:jc w:val="both"/>
      </w:pPr>
      <w:r>
        <w:t>Two methods were compared: a greedy search that adds, one at a time, whichever remaining site improves coverage the most under the full RSRP-and-SINR definition; and an integer linear program (ILP) that finds the mathematically optimal minimum site count under a relaxed RSRP-only definition (SINR’s interference term is non-linear and excluded from the ILP by construction).</w:t>
      </w:r>
    </w:p>
    <w:p w14:paraId="1B3B44D4" w14:textId="77777777" w:rsidR="0000374F" w:rsidRDefault="00000000" w:rsidP="00F325C5">
      <w:pPr>
        <w:spacing w:before="200" w:after="60"/>
        <w:jc w:val="both"/>
      </w:pPr>
      <w:r>
        <w:rPr>
          <w:noProof/>
        </w:rPr>
        <w:drawing>
          <wp:inline distT="0" distB="0" distL="0" distR="0" wp14:anchorId="182DF3BF" wp14:editId="35EC9BBD">
            <wp:extent cx="5667375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48F7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1. Coverage achieved as sites are added, greedy order [BS2, BS0, BS1].</w:t>
      </w:r>
    </w:p>
    <w:p w14:paraId="7717FE4C" w14:textId="77777777" w:rsidR="0000374F" w:rsidRDefault="00000000" w:rsidP="00F325C5">
      <w:pPr>
        <w:spacing w:after="60"/>
        <w:jc w:val="both"/>
      </w:pPr>
      <w:r>
        <w:rPr>
          <w:b/>
          <w:bCs/>
        </w:rPr>
        <w:t xml:space="preserve">Coverage with 1 site:  </w:t>
      </w:r>
      <w:r>
        <w:t>65.5%</w:t>
      </w:r>
    </w:p>
    <w:p w14:paraId="6E83B041" w14:textId="77777777" w:rsidR="0000374F" w:rsidRDefault="00000000" w:rsidP="00F325C5">
      <w:pPr>
        <w:spacing w:after="60"/>
        <w:jc w:val="both"/>
      </w:pPr>
      <w:r>
        <w:rPr>
          <w:b/>
          <w:bCs/>
        </w:rPr>
        <w:t xml:space="preserve">Coverage with 2 sites:  </w:t>
      </w:r>
      <w:r>
        <w:t>73.3%</w:t>
      </w:r>
    </w:p>
    <w:p w14:paraId="4D0D9730" w14:textId="77777777" w:rsidR="0000374F" w:rsidRDefault="00000000" w:rsidP="00F325C5">
      <w:pPr>
        <w:spacing w:after="60"/>
        <w:jc w:val="both"/>
      </w:pPr>
      <w:r>
        <w:rPr>
          <w:b/>
          <w:bCs/>
        </w:rPr>
        <w:t xml:space="preserve">Coverage with all 3 sites:  </w:t>
      </w:r>
      <w:r>
        <w:t>78.5%</w:t>
      </w:r>
    </w:p>
    <w:p w14:paraId="1D6DE3BB" w14:textId="77777777" w:rsidR="0000374F" w:rsidRDefault="00000000" w:rsidP="00F325C5">
      <w:pPr>
        <w:spacing w:after="60"/>
        <w:jc w:val="both"/>
      </w:pPr>
      <w:r>
        <w:rPr>
          <w:b/>
          <w:bCs/>
        </w:rPr>
        <w:t xml:space="preserve">95% target reached:  </w:t>
      </w:r>
      <w:r>
        <w:t>No — infeasible with the existing 3 sites</w:t>
      </w:r>
    </w:p>
    <w:p w14:paraId="1BC647DD" w14:textId="77777777" w:rsidR="0000374F" w:rsidRDefault="00000000" w:rsidP="00F325C5">
      <w:pPr>
        <w:spacing w:after="160"/>
        <w:jc w:val="both"/>
      </w:pPr>
      <w:r>
        <w:t>The ILP confirms this is not a search-quality problem: even its relaxed, easier RSRP-only version reports no feasible solution at a 95% target, because 78.5% is the ceiling this deployment can reach regardless of which sites are active. This is a genuine, quantified planning input: closing the gap to 95% coverage in this area requires new site locations, not re-tuning the existing three.</w:t>
      </w:r>
    </w:p>
    <w:p w14:paraId="20BFB557" w14:textId="77777777" w:rsidR="0000374F" w:rsidRDefault="00000000" w:rsidP="00F325C5">
      <w:pPr>
        <w:spacing w:before="200" w:after="60"/>
        <w:jc w:val="both"/>
      </w:pPr>
      <w:r>
        <w:rPr>
          <w:noProof/>
        </w:rPr>
        <w:lastRenderedPageBreak/>
        <w:drawing>
          <wp:inline distT="0" distB="0" distL="0" distR="0" wp14:anchorId="511F61B9" wp14:editId="3BF4DBA9">
            <wp:extent cx="4210050" cy="3571875"/>
            <wp:effectExtent l="0" t="0" r="0" b="0"/>
            <wp:docPr id="1528807084" name="Picture 1528807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8C17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2. Coverage holes (yellow) with all 3 sites active — concentrated behind buildings and at map edges.</w:t>
      </w:r>
    </w:p>
    <w:p w14:paraId="11B7451F" w14:textId="77777777" w:rsidR="0000374F" w:rsidRDefault="00000000" w:rsidP="00F325C5">
      <w:pPr>
        <w:pStyle w:val="Heading1"/>
        <w:jc w:val="both"/>
      </w:pPr>
      <w:r>
        <w:t>5. Module 2 — Outage Impact and Self-Healing</w:t>
      </w:r>
    </w:p>
    <w:p w14:paraId="3EE365FE" w14:textId="77777777" w:rsidR="0000374F" w:rsidRDefault="00000000" w:rsidP="00F325C5">
      <w:pPr>
        <w:spacing w:after="160"/>
        <w:jc w:val="both"/>
      </w:pPr>
      <w:r>
        <w:t>Question: what happens to coverage if a site fails, and can the surviving sites compensate automatically?</w:t>
      </w:r>
    </w:p>
    <w:p w14:paraId="34CC8FCD" w14:textId="77777777" w:rsidR="0000374F" w:rsidRDefault="00000000" w:rsidP="00F325C5">
      <w:pPr>
        <w:spacing w:after="160"/>
        <w:jc w:val="both"/>
      </w:pPr>
      <w:r>
        <w:t xml:space="preserve">Each site was removed one at a time (an “N−1” analysis) to rank single points of failure, then a coordinate-ascent self-healing routine raised transmit power (0–3 dB headroom, a proxy for a real tilt/power SON action) on the </w:t>
      </w:r>
      <w:proofErr w:type="spellStart"/>
      <w:r>
        <w:t>neighboring</w:t>
      </w:r>
      <w:proofErr w:type="spellEnd"/>
      <w:r>
        <w:t xml:space="preserve"> sites that inherit the failed site’s users, optimizing for coverage with cell-edge throughput as a tie-breaker.</w:t>
      </w:r>
    </w:p>
    <w:p w14:paraId="26B56CBD" w14:textId="77777777" w:rsidR="0000374F" w:rsidRDefault="00000000" w:rsidP="00F325C5">
      <w:pPr>
        <w:spacing w:before="200" w:after="60"/>
        <w:jc w:val="both"/>
      </w:pPr>
      <w:r>
        <w:rPr>
          <w:noProof/>
        </w:rPr>
        <w:lastRenderedPageBreak/>
        <w:drawing>
          <wp:inline distT="0" distB="0" distL="0" distR="0" wp14:anchorId="3B9BB9FC" wp14:editId="603ADF59">
            <wp:extent cx="5667375" cy="3914775"/>
            <wp:effectExtent l="0" t="0" r="0" b="0"/>
            <wp:docPr id="1175606478" name="Picture 1175606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4A28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3. Coverage lost if each site fails alone. Baseline coverage: 78.5%.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600"/>
      </w:tblGrid>
      <w:tr w:rsidR="0000374F" w14:paraId="2AA96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9C8C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Site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93A8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Coverage lost if it fails (pp)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563FC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Cell-edge (p5) throughput after failure</w:t>
            </w:r>
          </w:p>
        </w:tc>
      </w:tr>
      <w:tr w:rsidR="0000374F" w14:paraId="70B9F0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7DA65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BS0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23E30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6.6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8AE0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15.9 Mbps</w:t>
            </w:r>
          </w:p>
        </w:tc>
      </w:tr>
      <w:tr w:rsidR="0000374F" w14:paraId="64975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7DEA3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BS1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D7EC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5.2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683B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0.0 Mbps</w:t>
            </w:r>
          </w:p>
        </w:tc>
      </w:tr>
      <w:tr w:rsidR="0000374F" w14:paraId="0653E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273B2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BS2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D3B11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2.2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FFF5A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35.7 Mbps</w:t>
            </w:r>
          </w:p>
        </w:tc>
      </w:tr>
    </w:tbl>
    <w:p w14:paraId="5B3A753D" w14:textId="77777777" w:rsidR="0000374F" w:rsidRDefault="00000000" w:rsidP="00F325C5">
      <w:pPr>
        <w:spacing w:after="160"/>
        <w:jc w:val="both"/>
      </w:pPr>
      <w:r>
        <w:t xml:space="preserve">BS0 is the critical site — its failure costs more than double BS2’s. BS1’s failure is notable for a different reason: cell-edge throughput collapses to 0 Mbps, meaning some users are left technically “covered” by a </w:t>
      </w:r>
      <w:proofErr w:type="spellStart"/>
      <w:r>
        <w:t>neighbor</w:t>
      </w:r>
      <w:proofErr w:type="spellEnd"/>
      <w:r>
        <w:t xml:space="preserve"> but below a usable data rate — a distinction that a coverage-only metric would miss.</w:t>
      </w:r>
    </w:p>
    <w:p w14:paraId="6CB0873D" w14:textId="77777777" w:rsidR="0000374F" w:rsidRDefault="00000000" w:rsidP="00F325C5">
      <w:pPr>
        <w:spacing w:before="200" w:after="60"/>
        <w:jc w:val="both"/>
      </w:pPr>
      <w:r>
        <w:rPr>
          <w:noProof/>
        </w:rPr>
        <w:lastRenderedPageBreak/>
        <w:drawing>
          <wp:inline distT="0" distB="0" distL="0" distR="0" wp14:anchorId="4D973B43" wp14:editId="3DC962B1">
            <wp:extent cx="3838575" cy="2876550"/>
            <wp:effectExtent l="0" t="0" r="0" b="0"/>
            <wp:docPr id="1360370688" name="Picture 1360370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2672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4. Coverage before failure, immediately after BS0 fails, and after self-healing.</w:t>
      </w:r>
    </w:p>
    <w:p w14:paraId="1D6CC3D9" w14:textId="77777777" w:rsidR="0000374F" w:rsidRDefault="00000000" w:rsidP="00F325C5">
      <w:pPr>
        <w:spacing w:after="60"/>
        <w:jc w:val="both"/>
      </w:pPr>
      <w:r>
        <w:rPr>
          <w:b/>
          <w:bCs/>
        </w:rPr>
        <w:t xml:space="preserve">Coverage recovered by self-healing:  </w:t>
      </w:r>
      <w:r>
        <w:t>3.6 of 6.6 percentage points lost (54%)</w:t>
      </w:r>
    </w:p>
    <w:p w14:paraId="70A22CE7" w14:textId="77777777" w:rsidR="0000374F" w:rsidRDefault="00000000" w:rsidP="00F325C5">
      <w:pPr>
        <w:spacing w:after="60"/>
        <w:jc w:val="both"/>
      </w:pPr>
      <w:r>
        <w:rPr>
          <w:b/>
          <w:bCs/>
        </w:rPr>
        <w:t xml:space="preserve">Sites that raised power to compensate:  </w:t>
      </w:r>
      <w:r>
        <w:t>BS1, BS2 (+3 dB each)</w:t>
      </w:r>
    </w:p>
    <w:p w14:paraId="18A1884A" w14:textId="77777777" w:rsidR="0000374F" w:rsidRDefault="00000000" w:rsidP="00F325C5">
      <w:pPr>
        <w:spacing w:before="200" w:after="60"/>
        <w:jc w:val="both"/>
      </w:pPr>
      <w:r>
        <w:rPr>
          <w:noProof/>
        </w:rPr>
        <w:drawing>
          <wp:inline distT="0" distB="0" distL="0" distR="0" wp14:anchorId="71DBE29C" wp14:editId="1B91715C">
            <wp:extent cx="4210050" cy="3571875"/>
            <wp:effectExtent l="0" t="0" r="0" b="0"/>
            <wp:docPr id="1535816689" name="Picture 153581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47CB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5. RSRP map after BS0 (red marker) fails and BS1/BS2 boost power to compensate.</w:t>
      </w:r>
    </w:p>
    <w:p w14:paraId="0E2CE01C" w14:textId="77777777" w:rsidR="0000374F" w:rsidRDefault="00000000" w:rsidP="00F325C5">
      <w:pPr>
        <w:pStyle w:val="Heading1"/>
        <w:jc w:val="both"/>
      </w:pPr>
      <w:r>
        <w:t>6. Module 3 — Radio-Map Reconstruction from Sparse Measurements</w:t>
      </w:r>
    </w:p>
    <w:p w14:paraId="6A9E4FD6" w14:textId="77777777" w:rsidR="0000374F" w:rsidRDefault="00000000" w:rsidP="00F325C5">
      <w:pPr>
        <w:spacing w:after="160"/>
        <w:jc w:val="both"/>
      </w:pPr>
      <w:r>
        <w:t>Question: how accurately can the full coverage map be reconstructed from the limited samples a drive test or MDT campaign actually collects?</w:t>
      </w:r>
    </w:p>
    <w:p w14:paraId="5669B163" w14:textId="77777777" w:rsidR="0000374F" w:rsidRDefault="00000000" w:rsidP="00F325C5">
      <w:pPr>
        <w:spacing w:after="160"/>
        <w:jc w:val="both"/>
      </w:pPr>
      <w:r>
        <w:lastRenderedPageBreak/>
        <w:t>Four methods were compared at 1%, 2%, 5%, and 10% of locations sampled, under two sampling patterns: idealized random sampling, and realistic “route” sampling that clusters samples along simulated drive paths, as real drive tests do.</w:t>
      </w:r>
    </w:p>
    <w:p w14:paraId="2FC70B57" w14:textId="77777777" w:rsidR="0000374F" w:rsidRDefault="00000000" w:rsidP="00F325C5">
      <w:pPr>
        <w:spacing w:before="200" w:after="60"/>
        <w:jc w:val="both"/>
      </w:pPr>
      <w:r>
        <w:rPr>
          <w:noProof/>
        </w:rPr>
        <w:drawing>
          <wp:inline distT="0" distB="0" distL="0" distR="0" wp14:anchorId="35B6A579" wp14:editId="3AF6DEA3">
            <wp:extent cx="5848350" cy="2466975"/>
            <wp:effectExtent l="0" t="0" r="0" b="0"/>
            <wp:docPr id="2119916059" name="Picture 211991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E36C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6. RMSE of reconstructed RSRP vs. percentage of locations measured, random (left) vs. route (right) sampling.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200"/>
      </w:tblGrid>
      <w:tr w:rsidR="0000374F" w14:paraId="3D335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35F67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FE2F7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RMSE at 5% — random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E18B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RMSE at 5% — route</w:t>
            </w:r>
          </w:p>
        </w:tc>
      </w:tr>
      <w:tr w:rsidR="0000374F" w14:paraId="455B48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1CA6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Log-distance trend (baseline)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805D6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≈19.3 dB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4D48F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≈19.7 dB</w:t>
            </w:r>
          </w:p>
        </w:tc>
      </w:tr>
      <w:tr w:rsidR="0000374F" w14:paraId="25F670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8DBBE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Inverse-distance weighting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2FD49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≈5.6 dB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BD9F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≈12.0 dB</w:t>
            </w:r>
          </w:p>
        </w:tc>
      </w:tr>
      <w:tr w:rsidR="0000374F" w14:paraId="33AD3F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1F720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Trend + Gaussian-process kriging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2882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≈5.6 dB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F0270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≈12.6 dB</w:t>
            </w:r>
          </w:p>
        </w:tc>
      </w:tr>
      <w:tr w:rsidR="0000374F" w14:paraId="6DCE38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8B49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Gradient boosting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F229F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≈6.2 dB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002F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≈10.0 dB</w:t>
            </w:r>
          </w:p>
        </w:tc>
      </w:tr>
    </w:tbl>
    <w:p w14:paraId="1B5F9192" w14:textId="77777777" w:rsidR="0000374F" w:rsidRDefault="00000000" w:rsidP="00F325C5">
      <w:pPr>
        <w:spacing w:after="160"/>
        <w:jc w:val="both"/>
      </w:pPr>
      <w:r>
        <w:t xml:space="preserve">Two findings matter operationally. First, all three data-driven methods roughly halve the error of the naive distance-only baseline, confirming that even a small number of real measurements captures most of the spatial structure the ray-tracer produces. Second, sampling pattern matters as much as method choice: every method degrades under realistic route sampling versus idealized random sampling, and the method ranking changes — kriging’s advantage narrows because a Gaussian process leans on nearby points for interpolation, and route-clustered samples supply less independent spatial information per sample than random ones. Gradient boosting, which uses absolute position and distance-to-nearest-site as explicit features, degrades more gracefully under route sampling. This is a concrete argument for a route-planning improvement (spreading drive-test routes to maximize spatial independence) as much as a </w:t>
      </w:r>
      <w:proofErr w:type="spellStart"/>
      <w:r>
        <w:t>modeling</w:t>
      </w:r>
      <w:proofErr w:type="spellEnd"/>
      <w:r>
        <w:t xml:space="preserve"> one.</w:t>
      </w:r>
    </w:p>
    <w:p w14:paraId="3C60451D" w14:textId="77777777" w:rsidR="0000374F" w:rsidRDefault="00000000" w:rsidP="00F325C5">
      <w:pPr>
        <w:pStyle w:val="Heading1"/>
        <w:jc w:val="both"/>
      </w:pPr>
      <w:r>
        <w:t xml:space="preserve">7. Module 4 — </w:t>
      </w:r>
      <w:proofErr w:type="spellStart"/>
      <w:r>
        <w:t>mmWave</w:t>
      </w:r>
      <w:proofErr w:type="spellEnd"/>
      <w:r>
        <w:t xml:space="preserve"> Beam Management</w:t>
      </w:r>
    </w:p>
    <w:p w14:paraId="5448306B" w14:textId="77777777" w:rsidR="0000374F" w:rsidRDefault="00000000" w:rsidP="00F325C5">
      <w:pPr>
        <w:spacing w:after="160"/>
        <w:jc w:val="both"/>
      </w:pPr>
      <w:r>
        <w:t>Question: how much can a position-aware ML model cut beam-sweep training overhead without sacrificing link quality?</w:t>
      </w:r>
    </w:p>
    <w:p w14:paraId="70764C43" w14:textId="77777777" w:rsidR="0000374F" w:rsidRDefault="00000000" w:rsidP="00F325C5">
      <w:pPr>
        <w:spacing w:after="160"/>
        <w:jc w:val="both"/>
      </w:pPr>
      <w:r>
        <w:t>A 64-beam DFT codebook was built for a 32-element array. Two beam-selection strategies were compared, both restricted to sweeping only k of the 64 beams: a geometric baseline that points at the user’s physical bearing (a line-of-sight assumption), and a random-forest classifier trained to predict the beam offset from that geometric guess using the user’s position and geometry, evaluated on map tiles the model never saw during training.</w:t>
      </w:r>
    </w:p>
    <w:p w14:paraId="0558ACEA" w14:textId="77777777" w:rsidR="0000374F" w:rsidRDefault="00000000" w:rsidP="00F325C5">
      <w:pPr>
        <w:spacing w:before="200" w:after="60"/>
        <w:jc w:val="both"/>
      </w:pPr>
      <w:r>
        <w:rPr>
          <w:noProof/>
        </w:rPr>
        <w:lastRenderedPageBreak/>
        <w:drawing>
          <wp:inline distT="0" distB="0" distL="0" distR="0" wp14:anchorId="2BC7D83A" wp14:editId="2CBEE7B6">
            <wp:extent cx="5486400" cy="3629025"/>
            <wp:effectExtent l="0" t="0" r="0" b="0"/>
            <wp:docPr id="962671742" name="Picture 96267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492D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7. Mean beamforming-gain loss vs. beam-sweep overhead reduction, geometric baseline vs. ML.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1900"/>
        <w:gridCol w:w="1900"/>
      </w:tblGrid>
      <w:tr w:rsidR="0000374F" w14:paraId="1A520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A17B8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Beams swept (of 64)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B58E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Overhead reduction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B58A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Geometric loss (dB)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A6EBC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ML loss (dB)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70906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Improvement</w:t>
            </w:r>
          </w:p>
        </w:tc>
      </w:tr>
      <w:tr w:rsidR="0000374F" w14:paraId="2ACEA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606B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CD0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98.4%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73FF2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29.4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CE0B0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12.8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752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16.6 dB</w:t>
            </w:r>
          </w:p>
        </w:tc>
      </w:tr>
      <w:tr w:rsidR="0000374F" w14:paraId="0CAB4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2CBC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FF8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95.3%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9EE3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25.4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B3C0F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8.5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C043C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16.9 dB</w:t>
            </w:r>
          </w:p>
        </w:tc>
      </w:tr>
      <w:tr w:rsidR="0000374F" w14:paraId="3195C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20AD2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E9CA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92.2%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6B982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24.7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782DF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7.2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8C43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17.5 dB</w:t>
            </w:r>
          </w:p>
        </w:tc>
      </w:tr>
      <w:tr w:rsidR="0000374F" w14:paraId="16869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52277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8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1A27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87.5%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02BB9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23.7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453A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6.1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EA6E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17.7 dB</w:t>
            </w:r>
          </w:p>
        </w:tc>
      </w:tr>
    </w:tbl>
    <w:p w14:paraId="448DC9BE" w14:textId="77777777" w:rsidR="0000374F" w:rsidRDefault="00000000" w:rsidP="00F325C5">
      <w:pPr>
        <w:spacing w:after="160"/>
        <w:jc w:val="both"/>
      </w:pPr>
      <w:r>
        <w:t xml:space="preserve">The gap is large because this is a dense urban canyon: only 46.8% of users have a clear line of sight to their serving site, and a geometric assumption fails precisely for the </w:t>
      </w:r>
      <w:proofErr w:type="spellStart"/>
      <w:r>
        <w:t>NLoS</w:t>
      </w:r>
      <w:proofErr w:type="spellEnd"/>
      <w:r>
        <w:t xml:space="preserve"> majority. The ML model, trained on where beams actually perform best rather than where the user physically stands, recovers most of that loss. Top-1 beam accuracy is modest for both approaches (0.9% geometric, 15–43% ML depending on k), which is expected and unimportant on its own — real systems sweep a small candidate set rather than betting on one guess, which is exactly the top-k comparison shown here.</w:t>
      </w:r>
    </w:p>
    <w:p w14:paraId="0E815CF6" w14:textId="77777777" w:rsidR="0000374F" w:rsidRDefault="00000000" w:rsidP="00F325C5">
      <w:pPr>
        <w:pStyle w:val="Heading1"/>
        <w:jc w:val="both"/>
      </w:pPr>
      <w:r>
        <w:t>8. Module 5 — Handover Parameter Tuning</w:t>
      </w:r>
    </w:p>
    <w:p w14:paraId="13D8022A" w14:textId="77777777" w:rsidR="0000374F" w:rsidRDefault="00000000" w:rsidP="00F325C5">
      <w:pPr>
        <w:spacing w:after="160"/>
        <w:jc w:val="both"/>
      </w:pPr>
      <w:r>
        <w:t>Question: what A3-event hysteresis and time-to-trigger settings minimize handover cost across user speeds?</w:t>
      </w:r>
    </w:p>
    <w:p w14:paraId="60D7D2F5" w14:textId="77777777" w:rsidR="0000374F" w:rsidRDefault="00000000" w:rsidP="00F325C5">
      <w:pPr>
        <w:spacing w:after="160"/>
        <w:jc w:val="both"/>
      </w:pPr>
      <w:r>
        <w:t>200 users were simulated along randomized trajectories at two speeds (30 and 120 km/h) with a shared random seed across parameter settings for a fair, paired comparison. Cost combines handover rate, ping-pong rate (a heavily penalized handover reversed within 5 seconds), and radio-link-failure rate (SINR below −6 dB for over 1 second).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00374F" w14:paraId="3853844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52C4E8B4" w14:textId="77777777" w:rsidR="0000374F" w:rsidRDefault="00000000" w:rsidP="00F325C5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32CC0543" wp14:editId="57F2B481">
                  <wp:extent cx="2466975" cy="1828800"/>
                  <wp:effectExtent l="0" t="0" r="0" b="0"/>
                  <wp:docPr id="1698486218" name="Picture 1698486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02A37" w14:textId="77777777" w:rsidR="0000374F" w:rsidRDefault="00000000" w:rsidP="00F325C5">
            <w:pPr>
              <w:jc w:val="both"/>
            </w:pPr>
            <w:r>
              <w:rPr>
                <w:i/>
                <w:iCs/>
                <w:color w:val="595959"/>
                <w:sz w:val="18"/>
                <w:szCs w:val="18"/>
              </w:rPr>
              <w:t>Figure 8a. Handover cost surface, 30 km/h.</w:t>
            </w:r>
          </w:p>
        </w:tc>
        <w:tc>
          <w:tcPr>
            <w:tcW w:w="5000" w:type="dxa"/>
          </w:tcPr>
          <w:p w14:paraId="58005E3D" w14:textId="77777777" w:rsidR="0000374F" w:rsidRDefault="00000000" w:rsidP="00F325C5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503988D" wp14:editId="46000AFA">
                  <wp:extent cx="2466975" cy="1828800"/>
                  <wp:effectExtent l="0" t="0" r="0" b="0"/>
                  <wp:docPr id="1946516178" name="Picture 1946516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C3755" w14:textId="77777777" w:rsidR="0000374F" w:rsidRDefault="00000000" w:rsidP="00F325C5">
            <w:pPr>
              <w:jc w:val="both"/>
            </w:pPr>
            <w:r>
              <w:rPr>
                <w:i/>
                <w:iCs/>
                <w:color w:val="595959"/>
                <w:sz w:val="18"/>
                <w:szCs w:val="18"/>
              </w:rPr>
              <w:t>Figure 8b. Handover cost surface, 120 km/h.</w:t>
            </w:r>
          </w:p>
        </w:tc>
      </w:tr>
    </w:tbl>
    <w:p w14:paraId="770788A9" w14:textId="77777777" w:rsidR="0000374F" w:rsidRDefault="0000374F" w:rsidP="00F325C5">
      <w:pPr>
        <w:spacing w:before="200"/>
        <w:jc w:val="both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500"/>
        <w:gridCol w:w="1500"/>
        <w:gridCol w:w="2000"/>
        <w:gridCol w:w="2000"/>
      </w:tblGrid>
      <w:tr w:rsidR="0000374F" w14:paraId="398A2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2C3E9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C00D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Best hysteresis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E76AE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Best TTT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BE7BF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HO/UE/min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67203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Ping-pong/UE/min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0BEF3" w14:textId="77777777" w:rsidR="0000374F" w:rsidRDefault="00000000" w:rsidP="00F325C5">
            <w:pPr>
              <w:jc w:val="both"/>
            </w:pPr>
            <w:r>
              <w:rPr>
                <w:b/>
                <w:bCs/>
                <w:color w:val="FFFFFF"/>
              </w:rPr>
              <w:t>RLF/UE/min</w:t>
            </w:r>
          </w:p>
        </w:tc>
      </w:tr>
      <w:tr w:rsidR="0000374F" w14:paraId="69C8AC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2260C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30 km/h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A43F3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6 dB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D6D7C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0.4 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0E55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8.25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960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2.77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FE7B4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1.28</w:t>
            </w:r>
          </w:p>
        </w:tc>
      </w:tr>
      <w:tr w:rsidR="0000374F" w14:paraId="0D18E6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D6DC1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120 km/h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701D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6 dB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1CAB3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0.4 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F76B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18.30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574CC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8.04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EA768" w14:textId="77777777" w:rsidR="0000374F" w:rsidRDefault="00000000" w:rsidP="00F325C5">
            <w:pPr>
              <w:jc w:val="both"/>
            </w:pPr>
            <w:r>
              <w:rPr>
                <w:color w:val="000000"/>
              </w:rPr>
              <w:t>0.46</w:t>
            </w:r>
          </w:p>
        </w:tc>
      </w:tr>
    </w:tbl>
    <w:p w14:paraId="0F4E7173" w14:textId="77777777" w:rsidR="0000374F" w:rsidRDefault="00000000" w:rsidP="00F325C5">
      <w:pPr>
        <w:spacing w:after="160"/>
        <w:jc w:val="both"/>
      </w:pPr>
      <w:r>
        <w:t>The optimal setting is stable across speeds, which simplifies real deployment — one configuration serves both pedestrian and vehicular users here. The failure mode is not stable, though: slow-moving users suffer nearly 3× the radio-link-failure rate of fast users, because they dwell longer inside the coverage holes visible in Figure 2, while fast users generate far more handovers and ping-pong events by simply crossing more cell boundaries per minute. A network tuned only by looking at aggregate handover counts would miss the slow-user RLF risk entirely.</w:t>
      </w:r>
    </w:p>
    <w:p w14:paraId="4F62FE50" w14:textId="77777777" w:rsidR="0000374F" w:rsidRDefault="00000000" w:rsidP="00F325C5">
      <w:pPr>
        <w:pStyle w:val="Heading1"/>
        <w:jc w:val="both"/>
      </w:pPr>
      <w:r>
        <w:t>9. Assumptions and Limitations</w:t>
      </w:r>
    </w:p>
    <w:p w14:paraId="23C327BB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Ray-traced data omits most clutter (parked vehicles, foliage, pedestrians, weather) and uses simplified building materials, so absolute dB and Mbps values should be treated as directional, not measured; relative comparisons between methods (this report’s main conclusions) are far more robust than any single absolute figure.</w:t>
      </w:r>
    </w:p>
    <w:p w14:paraId="10D7F8DE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All base stations are </w:t>
      </w:r>
      <w:proofErr w:type="spellStart"/>
      <w:r>
        <w:t>modeled</w:t>
      </w:r>
      <w:proofErr w:type="spellEnd"/>
      <w:r>
        <w:t xml:space="preserve"> as omnidirectional; real deployments use 3-sector patterns and electrical/mechanical tilt, which the outage “power headroom” proxy approximates only coarsely.</w:t>
      </w:r>
    </w:p>
    <w:p w14:paraId="48731E83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Link-budget parameters (Table, Section 3.2) are engineering assumptions layered on top of </w:t>
      </w:r>
      <w:proofErr w:type="spellStart"/>
      <w:r>
        <w:t>DeepMIMO’s</w:t>
      </w:r>
      <w:proofErr w:type="spellEnd"/>
      <w:r>
        <w:t xml:space="preserve"> path loss, not measured values — they should be calibrated against real drive-test or MDT data before any number here is used for a live capital or configuration decision.</w:t>
      </w:r>
    </w:p>
    <w:p w14:paraId="03665478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With only 3 base stations, the site-selection and outage analyses have limited resolution (3 data points); a scenario with more sites would sharpen both the coverage curve and the outage ranking.</w:t>
      </w:r>
    </w:p>
    <w:p w14:paraId="07C34103" w14:textId="77777777" w:rsidR="0000374F" w:rsidRDefault="00000000" w:rsidP="00F325C5">
      <w:pPr>
        <w:pStyle w:val="ListParagraph"/>
        <w:numPr>
          <w:ilvl w:val="0"/>
          <w:numId w:val="2"/>
        </w:numPr>
        <w:spacing w:after="80"/>
        <w:jc w:val="both"/>
      </w:pPr>
      <w:r>
        <w:t>Throughput uses an attenuated-Shannon approximation and is not load-aware (does not model queueing or scheduling across many simultaneous users).</w:t>
      </w:r>
    </w:p>
    <w:p w14:paraId="68A1B327" w14:textId="77777777" w:rsidR="0000374F" w:rsidRDefault="00000000" w:rsidP="00F325C5">
      <w:pPr>
        <w:pStyle w:val="Heading1"/>
        <w:jc w:val="both"/>
      </w:pPr>
      <w:r>
        <w:t>10. Conclusions and Future Work</w:t>
      </w:r>
    </w:p>
    <w:p w14:paraId="1E62DFAC" w14:textId="77777777" w:rsidR="0000374F" w:rsidRDefault="00000000" w:rsidP="00F325C5">
      <w:pPr>
        <w:spacing w:after="160"/>
        <w:jc w:val="both"/>
      </w:pPr>
      <w:r>
        <w:t>Across five modules built on one shared ray-traced dataset, the digital-twin approach produced concrete, defensible findings: a quantified coverage ceiling for the current site count, a ranked outage risk with a measurable self-healing benefit, a validated sparse-sampling strategy for coverage mapping, a large and explainable beam-management gain concentrated in non-line-of-sight users, and a stable handover configuration with a speed-dependent failure mode worth monitoring separately from raw handover counts.</w:t>
      </w:r>
    </w:p>
    <w:p w14:paraId="522B90AA" w14:textId="77777777" w:rsidR="0000374F" w:rsidRDefault="00000000" w:rsidP="00F325C5">
      <w:pPr>
        <w:spacing w:after="160"/>
        <w:jc w:val="both"/>
      </w:pPr>
      <w:r>
        <w:lastRenderedPageBreak/>
        <w:t xml:space="preserve">Natural extensions include: </w:t>
      </w:r>
      <w:proofErr w:type="spellStart"/>
      <w:r>
        <w:t>modeling</w:t>
      </w:r>
      <w:proofErr w:type="spellEnd"/>
      <w:r>
        <w:t xml:space="preserve"> 3-sector antenna patterns and tilt explicitly; adding a second, higher-site-count scenario to strengthen the site-selection and outage analyses; comparing this C-band scenario against the same city’s </w:t>
      </w:r>
      <w:proofErr w:type="spellStart"/>
      <w:r>
        <w:t>mmWave</w:t>
      </w:r>
      <w:proofErr w:type="spellEnd"/>
      <w:r>
        <w:t xml:space="preserve"> (28 GHz) scenario to quantify the coverage/capacity trade-off directly; and calibrating the link-budget assumptions against real drive-test data from a live market.</w:t>
      </w:r>
    </w:p>
    <w:p w14:paraId="6C59B906" w14:textId="77777777" w:rsidR="0000374F" w:rsidRDefault="00000000" w:rsidP="00F325C5">
      <w:pPr>
        <w:pStyle w:val="Heading1"/>
        <w:jc w:val="both"/>
      </w:pPr>
      <w:r>
        <w:t>Appendix A — Reference Maps</w:t>
      </w:r>
    </w:p>
    <w:p w14:paraId="491C1144" w14:textId="77777777" w:rsidR="0000374F" w:rsidRDefault="00000000" w:rsidP="00F325C5">
      <w:pPr>
        <w:spacing w:before="200" w:after="60"/>
        <w:jc w:val="both"/>
      </w:pPr>
      <w:r>
        <w:rPr>
          <w:noProof/>
        </w:rPr>
        <w:drawing>
          <wp:inline distT="0" distB="0" distL="0" distR="0" wp14:anchorId="0AB1E3AD" wp14:editId="657828EE">
            <wp:extent cx="4210050" cy="3571875"/>
            <wp:effectExtent l="0" t="0" r="0" b="0"/>
            <wp:docPr id="1022268781" name="Picture 1022268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41BB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A1. Best-server RSRP (dBm), all 3 sites active.</w:t>
      </w:r>
    </w:p>
    <w:p w14:paraId="2E198F95" w14:textId="77777777" w:rsidR="0000374F" w:rsidRDefault="00000000" w:rsidP="00F325C5">
      <w:pPr>
        <w:spacing w:before="200" w:after="60"/>
        <w:jc w:val="both"/>
      </w:pPr>
      <w:r>
        <w:rPr>
          <w:noProof/>
        </w:rPr>
        <w:lastRenderedPageBreak/>
        <w:drawing>
          <wp:inline distT="0" distB="0" distL="0" distR="0" wp14:anchorId="4DC71E6F" wp14:editId="6AE75858">
            <wp:extent cx="4210050" cy="3571875"/>
            <wp:effectExtent l="0" t="0" r="0" b="0"/>
            <wp:docPr id="1387409671" name="Picture 138740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0925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A2. SINR (dB), all 3 sites active — diagonal streaks are ray-traced multipath reflections.</w:t>
      </w:r>
    </w:p>
    <w:p w14:paraId="6DB984E4" w14:textId="77777777" w:rsidR="0000374F" w:rsidRDefault="00000000" w:rsidP="00F325C5">
      <w:pPr>
        <w:spacing w:before="200" w:after="60"/>
        <w:jc w:val="both"/>
      </w:pPr>
      <w:r>
        <w:rPr>
          <w:noProof/>
        </w:rPr>
        <w:drawing>
          <wp:inline distT="0" distB="0" distL="0" distR="0" wp14:anchorId="483527DF" wp14:editId="3A477240">
            <wp:extent cx="4210050" cy="3571875"/>
            <wp:effectExtent l="0" t="0" r="0" b="0"/>
            <wp:docPr id="1702502031" name="Picture 170250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FE5E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A3. Estimated peak per-user throughput (Mbps), all 3 sites active.</w:t>
      </w:r>
    </w:p>
    <w:p w14:paraId="0FCA000B" w14:textId="77777777" w:rsidR="0000374F" w:rsidRDefault="00000000" w:rsidP="00F325C5">
      <w:pPr>
        <w:spacing w:before="200" w:after="60"/>
        <w:jc w:val="both"/>
      </w:pPr>
      <w:r>
        <w:rPr>
          <w:noProof/>
        </w:rPr>
        <w:lastRenderedPageBreak/>
        <w:drawing>
          <wp:inline distT="0" distB="0" distL="0" distR="0" wp14:anchorId="61F6CBBA" wp14:editId="53F28D8A">
            <wp:extent cx="4210050" cy="3571875"/>
            <wp:effectExtent l="0" t="0" r="0" b="0"/>
            <wp:docPr id="1025451233" name="Picture 102545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59B2" w14:textId="77777777" w:rsidR="0000374F" w:rsidRDefault="00000000" w:rsidP="00F325C5">
      <w:pPr>
        <w:spacing w:after="240"/>
        <w:jc w:val="both"/>
      </w:pPr>
      <w:r>
        <w:rPr>
          <w:i/>
          <w:iCs/>
          <w:color w:val="595959"/>
          <w:sz w:val="18"/>
          <w:szCs w:val="18"/>
        </w:rPr>
        <w:t>Figure A4. RSRP with the greedy site order [BS2, BS0, BS1] progressively activated.</w:t>
      </w:r>
    </w:p>
    <w:sectPr w:rsidR="0000374F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C9D4" w14:textId="77777777" w:rsidR="00952490" w:rsidRDefault="00952490">
      <w:r>
        <w:separator/>
      </w:r>
    </w:p>
  </w:endnote>
  <w:endnote w:type="continuationSeparator" w:id="0">
    <w:p w14:paraId="52F13192" w14:textId="77777777" w:rsidR="00952490" w:rsidRDefault="00952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58CC" w14:textId="77777777" w:rsidR="0000374F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325C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79929" w14:textId="77777777" w:rsidR="00952490" w:rsidRDefault="00952490">
      <w:r>
        <w:separator/>
      </w:r>
    </w:p>
  </w:footnote>
  <w:footnote w:type="continuationSeparator" w:id="0">
    <w:p w14:paraId="75799F13" w14:textId="77777777" w:rsidR="00952490" w:rsidRDefault="00952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64A3" w14:textId="77777777" w:rsidR="0000374F" w:rsidRDefault="00000000">
    <w:pPr>
      <w:jc w:val="right"/>
    </w:pPr>
    <w:r>
      <w:rPr>
        <w:color w:val="595959"/>
        <w:sz w:val="16"/>
        <w:szCs w:val="16"/>
      </w:rPr>
      <w:t>RF Digital Twin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17F"/>
    <w:multiLevelType w:val="hybridMultilevel"/>
    <w:tmpl w:val="C114A9D8"/>
    <w:lvl w:ilvl="0" w:tplc="38FEFBB2">
      <w:start w:val="1"/>
      <w:numFmt w:val="bullet"/>
      <w:lvlText w:val="●"/>
      <w:lvlJc w:val="left"/>
      <w:pPr>
        <w:ind w:left="720" w:hanging="360"/>
      </w:pPr>
    </w:lvl>
    <w:lvl w:ilvl="1" w:tplc="857EA20E">
      <w:start w:val="1"/>
      <w:numFmt w:val="bullet"/>
      <w:lvlText w:val="○"/>
      <w:lvlJc w:val="left"/>
      <w:pPr>
        <w:ind w:left="1440" w:hanging="360"/>
      </w:pPr>
    </w:lvl>
    <w:lvl w:ilvl="2" w:tplc="9EC8DA64">
      <w:start w:val="1"/>
      <w:numFmt w:val="bullet"/>
      <w:lvlText w:val="■"/>
      <w:lvlJc w:val="left"/>
      <w:pPr>
        <w:ind w:left="2160" w:hanging="360"/>
      </w:pPr>
    </w:lvl>
    <w:lvl w:ilvl="3" w:tplc="D6B8F9AC">
      <w:start w:val="1"/>
      <w:numFmt w:val="bullet"/>
      <w:lvlText w:val="●"/>
      <w:lvlJc w:val="left"/>
      <w:pPr>
        <w:ind w:left="2880" w:hanging="360"/>
      </w:pPr>
    </w:lvl>
    <w:lvl w:ilvl="4" w:tplc="D6F62532">
      <w:start w:val="1"/>
      <w:numFmt w:val="bullet"/>
      <w:lvlText w:val="○"/>
      <w:lvlJc w:val="left"/>
      <w:pPr>
        <w:ind w:left="3600" w:hanging="360"/>
      </w:pPr>
    </w:lvl>
    <w:lvl w:ilvl="5" w:tplc="5C1298CC">
      <w:start w:val="1"/>
      <w:numFmt w:val="bullet"/>
      <w:lvlText w:val="■"/>
      <w:lvlJc w:val="left"/>
      <w:pPr>
        <w:ind w:left="4320" w:hanging="360"/>
      </w:pPr>
    </w:lvl>
    <w:lvl w:ilvl="6" w:tplc="37A2BD9A">
      <w:start w:val="1"/>
      <w:numFmt w:val="bullet"/>
      <w:lvlText w:val="●"/>
      <w:lvlJc w:val="left"/>
      <w:pPr>
        <w:ind w:left="5040" w:hanging="360"/>
      </w:pPr>
    </w:lvl>
    <w:lvl w:ilvl="7" w:tplc="464E7090">
      <w:start w:val="1"/>
      <w:numFmt w:val="bullet"/>
      <w:lvlText w:val="●"/>
      <w:lvlJc w:val="left"/>
      <w:pPr>
        <w:ind w:left="5760" w:hanging="360"/>
      </w:pPr>
    </w:lvl>
    <w:lvl w:ilvl="8" w:tplc="CAD004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F15B36"/>
    <w:multiLevelType w:val="hybridMultilevel"/>
    <w:tmpl w:val="E0B646BC"/>
    <w:lvl w:ilvl="0" w:tplc="0004F1D8">
      <w:start w:val="1"/>
      <w:numFmt w:val="bullet"/>
      <w:lvlText w:val="•"/>
      <w:lvlJc w:val="left"/>
      <w:pPr>
        <w:ind w:left="360" w:hanging="260"/>
      </w:pPr>
    </w:lvl>
    <w:lvl w:ilvl="1" w:tplc="B352FEFE">
      <w:numFmt w:val="decimal"/>
      <w:lvlText w:val=""/>
      <w:lvlJc w:val="left"/>
    </w:lvl>
    <w:lvl w:ilvl="2" w:tplc="0306572A">
      <w:numFmt w:val="decimal"/>
      <w:lvlText w:val=""/>
      <w:lvlJc w:val="left"/>
    </w:lvl>
    <w:lvl w:ilvl="3" w:tplc="684A344E">
      <w:numFmt w:val="decimal"/>
      <w:lvlText w:val=""/>
      <w:lvlJc w:val="left"/>
    </w:lvl>
    <w:lvl w:ilvl="4" w:tplc="FABED378">
      <w:numFmt w:val="decimal"/>
      <w:lvlText w:val=""/>
      <w:lvlJc w:val="left"/>
    </w:lvl>
    <w:lvl w:ilvl="5" w:tplc="41B64528">
      <w:numFmt w:val="decimal"/>
      <w:lvlText w:val=""/>
      <w:lvlJc w:val="left"/>
    </w:lvl>
    <w:lvl w:ilvl="6" w:tplc="82A692F6">
      <w:numFmt w:val="decimal"/>
      <w:lvlText w:val=""/>
      <w:lvlJc w:val="left"/>
    </w:lvl>
    <w:lvl w:ilvl="7" w:tplc="5E14973A">
      <w:numFmt w:val="decimal"/>
      <w:lvlText w:val=""/>
      <w:lvlJc w:val="left"/>
    </w:lvl>
    <w:lvl w:ilvl="8" w:tplc="FE62B656">
      <w:numFmt w:val="decimal"/>
      <w:lvlText w:val=""/>
      <w:lvlJc w:val="left"/>
    </w:lvl>
  </w:abstractNum>
  <w:num w:numId="1" w16cid:durableId="622539239">
    <w:abstractNumId w:val="0"/>
    <w:lvlOverride w:ilvl="0">
      <w:startOverride w:val="1"/>
    </w:lvlOverride>
  </w:num>
  <w:num w:numId="2" w16cid:durableId="4990074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4F"/>
    <w:rsid w:val="0000374F"/>
    <w:rsid w:val="007C5C05"/>
    <w:rsid w:val="00952490"/>
    <w:rsid w:val="00F325C5"/>
    <w:rsid w:val="00FA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0F6B"/>
  <w15:docId w15:val="{9E9C6AB2-96BC-4979-8DF3-68D7B02D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1F3864"/>
      </w:pBdr>
      <w:spacing w:before="4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C0000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2444</Words>
  <Characters>13932</Characters>
  <Application>Microsoft Office Word</Application>
  <DocSecurity>0</DocSecurity>
  <Lines>116</Lines>
  <Paragraphs>32</Paragraphs>
  <ScaleCrop>false</ScaleCrop>
  <Company/>
  <LinksUpToDate>false</LinksUpToDate>
  <CharactersWithSpaces>16344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Meghna Mithra</cp:lastModifiedBy>
  <cp:revision>2</cp:revision>
  <dcterms:created xsi:type="dcterms:W3CDTF">2026-09-23T18:10:00Z</dcterms:created>
  <dcterms:modified xsi:type="dcterms:W3CDTF">2026-09-23T18:10:00Z</dcterms:modified>
</cp:coreProperties>
</file>