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BAF" w:rsidRDefault="00763BAF" w:rsidP="00763BAF">
      <w:pPr>
        <w:spacing w:line="276" w:lineRule="auto"/>
        <w:jc w:val="both"/>
        <w:rPr>
          <w:rFonts w:ascii="Times New Roman" w:hAnsi="Times New Roman"/>
          <w:b/>
          <w:bCs/>
          <w:sz w:val="24"/>
        </w:rPr>
      </w:pPr>
      <w:r>
        <w:rPr>
          <w:rFonts w:ascii="Times New Roman" w:hAnsi="Times New Roman"/>
          <w:b/>
          <w:bCs/>
          <w:sz w:val="24"/>
        </w:rPr>
        <w:t xml:space="preserve">1. </w:t>
      </w:r>
      <w:r w:rsidRPr="00763BAF">
        <w:rPr>
          <w:rFonts w:ascii="Times New Roman" w:hAnsi="Times New Roman"/>
          <w:b/>
          <w:bCs/>
          <w:sz w:val="24"/>
        </w:rPr>
        <w:t>Framework and objectives</w:t>
      </w:r>
    </w:p>
    <w:p w:rsidR="000E3A04" w:rsidRPr="00763BAF" w:rsidRDefault="000E3A04" w:rsidP="00763BAF">
      <w:pPr>
        <w:spacing w:line="276" w:lineRule="auto"/>
        <w:jc w:val="both"/>
        <w:rPr>
          <w:rFonts w:ascii="Times New Roman" w:hAnsi="Times New Roman"/>
          <w:b/>
          <w:bCs/>
          <w:sz w:val="24"/>
        </w:rPr>
      </w:pPr>
      <w:r w:rsidRPr="00763BAF">
        <w:rPr>
          <w:rFonts w:ascii="Times New Roman" w:hAnsi="Times New Roman"/>
          <w:b/>
          <w:bCs/>
          <w:sz w:val="24"/>
        </w:rPr>
        <w:t>2. Brief theoretical and Technical Review on HDI</w:t>
      </w:r>
    </w:p>
    <w:p w:rsidR="000E3A04" w:rsidRPr="00763BAF" w:rsidRDefault="000E3A04" w:rsidP="00763BAF">
      <w:pPr>
        <w:spacing w:line="276" w:lineRule="auto"/>
        <w:jc w:val="both"/>
        <w:rPr>
          <w:rFonts w:ascii="Times New Roman" w:hAnsi="Times New Roman"/>
          <w:sz w:val="24"/>
        </w:rPr>
      </w:pPr>
      <w:r w:rsidRPr="00763BAF">
        <w:rPr>
          <w:rFonts w:ascii="Times New Roman" w:hAnsi="Times New Roman"/>
          <w:sz w:val="24"/>
        </w:rPr>
        <w:t>The human development index</w:t>
      </w:r>
      <w:r w:rsidR="00763BAF">
        <w:rPr>
          <w:rFonts w:ascii="Times New Roman" w:hAnsi="Times New Roman"/>
          <w:sz w:val="24"/>
        </w:rPr>
        <w:t xml:space="preserve"> (HDI)</w:t>
      </w:r>
      <w:r w:rsidRPr="00763BAF">
        <w:rPr>
          <w:rFonts w:ascii="Times New Roman" w:hAnsi="Times New Roman"/>
          <w:sz w:val="24"/>
        </w:rPr>
        <w:t xml:space="preserve"> is considered very important to measure the development of countries and is considered a fairer measure-to-measure economic welfare. According to Gezikol, Ergüzel and Tunahan (2019) welfare includes basic concepts such as happiness, health, education and income, with the HDI emerging as one of the most important indicators for assessing the welfare and performance of countries and different regions. Calculated and disseminated by the United Nations (UN) since 1990, this indicator includes key dimensions of development that reflect social and economic welfare: a long and healthy life, access to knowledge and a decent standard of living (Javaid, Akbar &amp; Nawaz, 2018). </w:t>
      </w:r>
    </w:p>
    <w:p w:rsidR="000E3A04" w:rsidRPr="00763BAF" w:rsidRDefault="000E3A04" w:rsidP="00763BAF">
      <w:pPr>
        <w:spacing w:line="276" w:lineRule="auto"/>
        <w:jc w:val="both"/>
        <w:rPr>
          <w:rFonts w:ascii="Times New Roman" w:hAnsi="Times New Roman"/>
          <w:sz w:val="24"/>
        </w:rPr>
      </w:pPr>
      <w:r w:rsidRPr="00763BAF">
        <w:rPr>
          <w:rFonts w:ascii="Times New Roman" w:hAnsi="Times New Roman"/>
          <w:sz w:val="24"/>
        </w:rPr>
        <w:t xml:space="preserve">According to the United Nations, the HDI was created to emphasize that people and their capabilities should be the final criteria for evaluating a country's development, in contrast to the idea of ​​using only economic growth (GDP). Thus, the UN </w:t>
      </w:r>
      <w:r w:rsidRPr="00763BAF">
        <w:rPr>
          <w:rFonts w:ascii="Times New Roman" w:hAnsi="Times New Roman"/>
          <w:sz w:val="24"/>
        </w:rPr>
        <w:t>Human Development Report (2015) states</w:t>
      </w:r>
      <w:r w:rsidRPr="00763BAF">
        <w:rPr>
          <w:rFonts w:ascii="Times New Roman" w:hAnsi="Times New Roman"/>
          <w:sz w:val="24"/>
        </w:rPr>
        <w:t xml:space="preserve">, </w:t>
      </w:r>
      <w:r w:rsidRPr="00763BAF">
        <w:rPr>
          <w:rFonts w:ascii="Times New Roman" w:hAnsi="Times New Roman"/>
          <w:sz w:val="24"/>
        </w:rPr>
        <w:t>“human development focuses on the enlarging people’s choices and richness of human lives”.</w:t>
      </w:r>
    </w:p>
    <w:p w:rsidR="000E3A04" w:rsidRPr="00763BAF" w:rsidRDefault="000E3A04" w:rsidP="00763BAF">
      <w:pPr>
        <w:spacing w:line="276" w:lineRule="auto"/>
        <w:jc w:val="both"/>
        <w:rPr>
          <w:rFonts w:ascii="Times New Roman" w:hAnsi="Times New Roman"/>
          <w:b/>
          <w:bCs/>
          <w:sz w:val="24"/>
        </w:rPr>
      </w:pPr>
      <w:r w:rsidRPr="00763BAF">
        <w:rPr>
          <w:rFonts w:ascii="Times New Roman" w:hAnsi="Times New Roman"/>
          <w:b/>
          <w:bCs/>
          <w:sz w:val="24"/>
        </w:rPr>
        <w:t>Measuring and Calculation of human development</w:t>
      </w:r>
      <w:r w:rsidRPr="00763BAF">
        <w:rPr>
          <w:rStyle w:val="Refdenotaderodap"/>
          <w:rFonts w:ascii="Times New Roman" w:hAnsi="Times New Roman"/>
          <w:b/>
          <w:bCs/>
          <w:sz w:val="24"/>
        </w:rPr>
        <w:footnoteReference w:id="1"/>
      </w:r>
    </w:p>
    <w:p w:rsidR="000E3A04" w:rsidRPr="00763BAF" w:rsidRDefault="000E3A04" w:rsidP="00763BAF">
      <w:pPr>
        <w:spacing w:line="276" w:lineRule="auto"/>
        <w:jc w:val="both"/>
        <w:rPr>
          <w:rFonts w:ascii="Times New Roman" w:hAnsi="Times New Roman"/>
          <w:sz w:val="24"/>
        </w:rPr>
      </w:pPr>
      <w:r w:rsidRPr="00763BAF">
        <w:rPr>
          <w:rFonts w:ascii="Times New Roman" w:hAnsi="Times New Roman"/>
          <w:sz w:val="24"/>
        </w:rPr>
        <w:t>According to the United Nations Human Development Report (2018</w:t>
      </w:r>
      <w:r w:rsidR="00763BAF">
        <w:rPr>
          <w:rFonts w:ascii="Times New Roman" w:hAnsi="Times New Roman"/>
          <w:sz w:val="24"/>
        </w:rPr>
        <w:t>)</w:t>
      </w:r>
      <w:r w:rsidRPr="00763BAF">
        <w:rPr>
          <w:rFonts w:ascii="Times New Roman" w:hAnsi="Times New Roman"/>
          <w:sz w:val="24"/>
        </w:rPr>
        <w:t>, “</w:t>
      </w:r>
      <w:r w:rsidR="00375DF2">
        <w:rPr>
          <w:rFonts w:ascii="Times New Roman" w:hAnsi="Times New Roman"/>
          <w:sz w:val="24"/>
        </w:rPr>
        <w:t>t</w:t>
      </w:r>
      <w:r w:rsidRPr="00763BAF">
        <w:rPr>
          <w:rFonts w:ascii="Times New Roman" w:hAnsi="Times New Roman"/>
          <w:sz w:val="24"/>
        </w:rPr>
        <w:t xml:space="preserve">he </w:t>
      </w:r>
      <w:r w:rsidR="00375DF2">
        <w:rPr>
          <w:rFonts w:ascii="Times New Roman" w:hAnsi="Times New Roman"/>
          <w:sz w:val="24"/>
        </w:rPr>
        <w:t>HDI</w:t>
      </w:r>
      <w:r w:rsidRPr="00763BAF">
        <w:rPr>
          <w:rFonts w:ascii="Times New Roman" w:hAnsi="Times New Roman"/>
          <w:sz w:val="24"/>
        </w:rPr>
        <w:t xml:space="preserve"> is a composite</w:t>
      </w:r>
      <w:r w:rsidRPr="00763BAF">
        <w:rPr>
          <w:rFonts w:ascii="Times New Roman" w:hAnsi="Times New Roman"/>
          <w:sz w:val="24"/>
        </w:rPr>
        <w:t xml:space="preserve"> </w:t>
      </w:r>
      <w:r w:rsidRPr="00763BAF">
        <w:rPr>
          <w:rFonts w:ascii="Times New Roman" w:hAnsi="Times New Roman"/>
          <w:sz w:val="24"/>
        </w:rPr>
        <w:t>index focusing on three basic dimensions of human</w:t>
      </w:r>
      <w:r w:rsidRPr="00763BAF">
        <w:rPr>
          <w:rFonts w:ascii="Times New Roman" w:hAnsi="Times New Roman"/>
          <w:sz w:val="24"/>
        </w:rPr>
        <w:t xml:space="preserve"> </w:t>
      </w:r>
      <w:r w:rsidRPr="00763BAF">
        <w:rPr>
          <w:rFonts w:ascii="Times New Roman" w:hAnsi="Times New Roman"/>
          <w:sz w:val="24"/>
        </w:rPr>
        <w:t>development: the ability to lead a long and healthy life,</w:t>
      </w:r>
      <w:r w:rsidRPr="00763BAF">
        <w:rPr>
          <w:rFonts w:ascii="Times New Roman" w:hAnsi="Times New Roman"/>
          <w:sz w:val="24"/>
        </w:rPr>
        <w:t xml:space="preserve"> </w:t>
      </w:r>
      <w:r w:rsidRPr="00763BAF">
        <w:rPr>
          <w:rFonts w:ascii="Times New Roman" w:hAnsi="Times New Roman"/>
          <w:sz w:val="24"/>
        </w:rPr>
        <w:t>measured by life expectancy at birth; the ability to acquire</w:t>
      </w:r>
      <w:r w:rsidRPr="00763BAF">
        <w:rPr>
          <w:rFonts w:ascii="Times New Roman" w:hAnsi="Times New Roman"/>
          <w:sz w:val="24"/>
        </w:rPr>
        <w:t xml:space="preserve"> </w:t>
      </w:r>
      <w:r w:rsidRPr="00763BAF">
        <w:rPr>
          <w:rFonts w:ascii="Times New Roman" w:hAnsi="Times New Roman"/>
          <w:sz w:val="24"/>
        </w:rPr>
        <w:t>knowledge, measured by mean years of schooling</w:t>
      </w:r>
      <w:r w:rsidRPr="00763BAF">
        <w:rPr>
          <w:rFonts w:ascii="Times New Roman" w:hAnsi="Times New Roman"/>
          <w:sz w:val="24"/>
        </w:rPr>
        <w:t xml:space="preserve"> </w:t>
      </w:r>
      <w:r w:rsidRPr="00763BAF">
        <w:rPr>
          <w:rFonts w:ascii="Times New Roman" w:hAnsi="Times New Roman"/>
          <w:sz w:val="24"/>
        </w:rPr>
        <w:t>and expected years of schooling; and the ability to</w:t>
      </w:r>
      <w:r w:rsidRPr="00763BAF">
        <w:rPr>
          <w:rFonts w:ascii="Times New Roman" w:hAnsi="Times New Roman"/>
          <w:sz w:val="24"/>
        </w:rPr>
        <w:t xml:space="preserve"> </w:t>
      </w:r>
      <w:r w:rsidRPr="00763BAF">
        <w:rPr>
          <w:rFonts w:ascii="Times New Roman" w:hAnsi="Times New Roman"/>
          <w:sz w:val="24"/>
        </w:rPr>
        <w:t>achieve a decent standard of living, measured by gross</w:t>
      </w:r>
      <w:r w:rsidRPr="00763BAF">
        <w:rPr>
          <w:rFonts w:ascii="Times New Roman" w:hAnsi="Times New Roman"/>
          <w:sz w:val="24"/>
        </w:rPr>
        <w:t xml:space="preserve"> </w:t>
      </w:r>
      <w:r w:rsidRPr="00763BAF">
        <w:rPr>
          <w:rFonts w:ascii="Times New Roman" w:hAnsi="Times New Roman"/>
          <w:sz w:val="24"/>
        </w:rPr>
        <w:t>national income per capita</w:t>
      </w:r>
      <w:r w:rsidRPr="00763BAF">
        <w:rPr>
          <w:rFonts w:ascii="Times New Roman" w:hAnsi="Times New Roman"/>
          <w:sz w:val="24"/>
        </w:rPr>
        <w:t>”</w:t>
      </w:r>
      <w:r w:rsidRPr="00763BAF">
        <w:rPr>
          <w:rFonts w:ascii="Times New Roman" w:hAnsi="Times New Roman"/>
          <w:sz w:val="24"/>
        </w:rPr>
        <w:t>.</w:t>
      </w:r>
    </w:p>
    <w:p w:rsidR="000E3A04" w:rsidRPr="00763BAF" w:rsidRDefault="000E3A04" w:rsidP="00763BAF">
      <w:pPr>
        <w:spacing w:line="276" w:lineRule="auto"/>
        <w:jc w:val="both"/>
        <w:rPr>
          <w:rFonts w:ascii="Times New Roman" w:hAnsi="Times New Roman"/>
          <w:sz w:val="24"/>
        </w:rPr>
      </w:pPr>
      <w:r w:rsidRPr="00763BAF">
        <w:rPr>
          <w:rFonts w:ascii="Times New Roman" w:hAnsi="Times New Roman"/>
          <w:sz w:val="24"/>
        </w:rPr>
        <w:t>Technically, according to the same organization, the HDI is the geometric mean of the normalized indices for each of the three dimensions, where: - the health dimension is evaluated by life expectancy at birth, the education dimension is measured by the average of the years the level of education of adults aged 25 years and over and the years of education expected for school-age children, and the dimension of the standard of living is measured by the gross national income per capita.</w:t>
      </w:r>
    </w:p>
    <w:p w:rsidR="00763BAF" w:rsidRPr="00375DF2" w:rsidRDefault="00763BAF" w:rsidP="00763BAF">
      <w:pPr>
        <w:spacing w:line="276" w:lineRule="auto"/>
        <w:jc w:val="both"/>
        <w:rPr>
          <w:rFonts w:ascii="Times New Roman" w:hAnsi="Times New Roman"/>
          <w:sz w:val="24"/>
        </w:rPr>
      </w:pPr>
      <w:r w:rsidRPr="00375DF2">
        <w:rPr>
          <w:rFonts w:ascii="Times New Roman" w:hAnsi="Times New Roman"/>
          <w:sz w:val="24"/>
        </w:rPr>
        <w:t>Mathematically, the HDI is calculated as follows:</w:t>
      </w:r>
    </w:p>
    <w:p w:rsidR="00763BAF" w:rsidRPr="00763BAF" w:rsidRDefault="00375DF2" w:rsidP="00763BAF">
      <w:pPr>
        <w:spacing w:line="276" w:lineRule="auto"/>
        <w:jc w:val="both"/>
        <w:rPr>
          <w:rFonts w:ascii="Arial" w:hAnsi="Arial" w:cs="Arial"/>
          <w:sz w:val="24"/>
        </w:rPr>
      </w:pPr>
      <w:r>
        <w:rPr>
          <w:rFonts w:ascii="Times New Roman" w:hAnsi="Times New Roman"/>
          <w:b/>
          <w:sz w:val="24"/>
        </w:rPr>
        <w:t xml:space="preserve">                         </w:t>
      </w:r>
      <m:oMath>
        <m:r>
          <m:rPr>
            <m:sty m:val="bi"/>
          </m:rPr>
          <w:rPr>
            <w:rFonts w:ascii="Cambria Math" w:hAnsi="Cambria Math" w:cs="Arial"/>
            <w:sz w:val="24"/>
          </w:rPr>
          <m:t>HDI</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health</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education</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income</m:t>
            </m:r>
          </m:sub>
        </m:sSub>
        <m:sSup>
          <m:sSupPr>
            <m:ctrlPr>
              <w:rPr>
                <w:rFonts w:ascii="Cambria Math" w:hAnsi="Cambria Math" w:cs="Arial"/>
                <w:i/>
                <w:sz w:val="24"/>
              </w:rPr>
            </m:ctrlPr>
          </m:sSupPr>
          <m:e>
            <m:r>
              <w:rPr>
                <w:rFonts w:ascii="Cambria Math" w:hAnsi="Cambria Math" w:cs="Arial"/>
                <w:sz w:val="24"/>
              </w:rPr>
              <m:t>)</m:t>
            </m:r>
          </m:e>
          <m:sup>
            <m:r>
              <w:rPr>
                <w:rFonts w:ascii="Cambria Math" w:hAnsi="Cambria Math" w:cs="Arial"/>
                <w:sz w:val="24"/>
              </w:rPr>
              <m:t>1/3</m:t>
            </m:r>
          </m:sup>
        </m:sSup>
      </m:oMath>
      <w:r>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r>
      <w:r w:rsidRPr="00375DF2">
        <w:rPr>
          <w:rFonts w:ascii="Times New Roman" w:hAnsi="Times New Roman"/>
          <w:sz w:val="24"/>
        </w:rPr>
        <w:tab/>
        <w:t>[1]</w:t>
      </w:r>
    </w:p>
    <w:p w:rsidR="00763BAF" w:rsidRPr="009D37AA" w:rsidRDefault="00763BAF" w:rsidP="00763BAF">
      <w:pPr>
        <w:spacing w:line="276" w:lineRule="auto"/>
        <w:jc w:val="both"/>
        <w:rPr>
          <w:rFonts w:ascii="Times New Roman" w:hAnsi="Times New Roman"/>
          <w:sz w:val="24"/>
        </w:rPr>
      </w:pPr>
    </w:p>
    <w:p w:rsidR="000E3A04" w:rsidRDefault="009D37AA" w:rsidP="00763BAF">
      <w:pPr>
        <w:spacing w:line="276" w:lineRule="auto"/>
        <w:jc w:val="both"/>
        <w:rPr>
          <w:rFonts w:ascii="Times New Roman" w:hAnsi="Times New Roman"/>
          <w:sz w:val="24"/>
        </w:rPr>
      </w:pPr>
      <w:r w:rsidRPr="009D37AA">
        <w:rPr>
          <w:rFonts w:ascii="Times New Roman" w:hAnsi="Times New Roman"/>
          <w:sz w:val="24"/>
        </w:rPr>
        <w:t>The calculation of the HDI begins first with the creation of the aforementioned indices of dimensions. These indices are calculated according to the pre-established minimum and maxi</w:t>
      </w:r>
      <w:r w:rsidR="00DD248B">
        <w:rPr>
          <w:rFonts w:ascii="Times New Roman" w:hAnsi="Times New Roman"/>
          <w:sz w:val="24"/>
        </w:rPr>
        <w:t>mum values.</w:t>
      </w:r>
      <w:r w:rsidR="003E75EC">
        <w:rPr>
          <w:rFonts w:ascii="Times New Roman" w:hAnsi="Times New Roman"/>
          <w:sz w:val="24"/>
        </w:rPr>
        <w:t xml:space="preserve"> </w:t>
      </w:r>
      <w:r w:rsidR="00DD248B">
        <w:rPr>
          <w:rFonts w:ascii="Times New Roman" w:hAnsi="Times New Roman"/>
          <w:sz w:val="24"/>
        </w:rPr>
        <w:t>T</w:t>
      </w:r>
      <w:r w:rsidR="00DD248B" w:rsidRPr="00DD248B">
        <w:rPr>
          <w:rFonts w:ascii="Times New Roman" w:hAnsi="Times New Roman"/>
          <w:sz w:val="24"/>
        </w:rPr>
        <w:t>hese values are defined in order to transform the indicators express</w:t>
      </w:r>
      <w:r w:rsidR="00DD248B">
        <w:rPr>
          <w:rFonts w:ascii="Times New Roman" w:hAnsi="Times New Roman"/>
          <w:sz w:val="24"/>
        </w:rPr>
        <w:t>ed in different units into indice</w:t>
      </w:r>
      <w:r w:rsidR="00DD248B" w:rsidRPr="00DD248B">
        <w:rPr>
          <w:rFonts w:ascii="Times New Roman" w:hAnsi="Times New Roman"/>
          <w:sz w:val="24"/>
        </w:rPr>
        <w:t>s between 0 and 1, as shown in table 1</w:t>
      </w:r>
      <w:r w:rsidR="00DD248B">
        <w:rPr>
          <w:rFonts w:ascii="Times New Roman" w:hAnsi="Times New Roman"/>
          <w:sz w:val="24"/>
        </w:rPr>
        <w:t>.</w:t>
      </w:r>
    </w:p>
    <w:p w:rsidR="009D37AA" w:rsidRPr="009D37AA" w:rsidRDefault="009D37AA" w:rsidP="00763BAF">
      <w:pPr>
        <w:spacing w:line="276" w:lineRule="auto"/>
        <w:jc w:val="both"/>
        <w:rPr>
          <w:rFonts w:ascii="Times New Roman" w:hAnsi="Times New Roman"/>
          <w:sz w:val="24"/>
          <w:szCs w:val="24"/>
        </w:rPr>
      </w:pPr>
      <w:r>
        <w:rPr>
          <w:rFonts w:ascii="Times New Roman" w:hAnsi="Times New Roman"/>
          <w:sz w:val="24"/>
        </w:rPr>
        <w:lastRenderedPageBreak/>
        <w:t xml:space="preserve">  </w:t>
      </w:r>
      <w:r>
        <w:rPr>
          <w:rFonts w:ascii="Times New Roman" w:hAnsi="Times New Roman"/>
          <w:sz w:val="24"/>
          <w:szCs w:val="24"/>
        </w:rPr>
        <w:t>Table1</w:t>
      </w:r>
      <w:r w:rsidR="00FB6191">
        <w:rPr>
          <w:rFonts w:ascii="Times New Roman" w:hAnsi="Times New Roman"/>
          <w:sz w:val="24"/>
          <w:szCs w:val="24"/>
        </w:rPr>
        <w:t xml:space="preserve">: </w:t>
      </w:r>
    </w:p>
    <w:tbl>
      <w:tblPr>
        <w:tblW w:w="8540" w:type="dxa"/>
        <w:tblLook w:val="04A0" w:firstRow="1" w:lastRow="0" w:firstColumn="1" w:lastColumn="0" w:noHBand="0" w:noVBand="1"/>
      </w:tblPr>
      <w:tblGrid>
        <w:gridCol w:w="1817"/>
        <w:gridCol w:w="3656"/>
        <w:gridCol w:w="1735"/>
        <w:gridCol w:w="1332"/>
      </w:tblGrid>
      <w:tr w:rsidR="009D37AA" w:rsidRPr="009D37AA" w:rsidTr="009D37AA">
        <w:trPr>
          <w:trHeight w:val="268"/>
        </w:trPr>
        <w:tc>
          <w:tcPr>
            <w:tcW w:w="1817" w:type="dxa"/>
            <w:tcBorders>
              <w:top w:val="single" w:sz="8" w:space="0" w:color="auto"/>
              <w:left w:val="nil"/>
              <w:bottom w:val="single" w:sz="8" w:space="0" w:color="auto"/>
              <w:right w:val="nil"/>
            </w:tcBorders>
            <w:noWrap/>
            <w:vAlign w:val="center"/>
            <w:hideMark/>
          </w:tcPr>
          <w:p w:rsidR="009D37AA" w:rsidRPr="00FB6191" w:rsidRDefault="009D37AA" w:rsidP="006458AB">
            <w:pPr>
              <w:spacing w:after="0" w:line="240" w:lineRule="auto"/>
              <w:rPr>
                <w:rFonts w:ascii="Times New Roman" w:hAnsi="Times New Roman"/>
                <w:b/>
                <w:bCs/>
                <w:color w:val="000000"/>
                <w:szCs w:val="24"/>
              </w:rPr>
            </w:pPr>
            <w:r w:rsidRPr="00FB6191">
              <w:rPr>
                <w:rFonts w:ascii="Times New Roman" w:hAnsi="Times New Roman"/>
                <w:b/>
                <w:bCs/>
                <w:color w:val="000000"/>
                <w:szCs w:val="24"/>
              </w:rPr>
              <w:t>Dimension</w:t>
            </w:r>
          </w:p>
        </w:tc>
        <w:tc>
          <w:tcPr>
            <w:tcW w:w="3656" w:type="dxa"/>
            <w:tcBorders>
              <w:top w:val="single" w:sz="8" w:space="0" w:color="auto"/>
              <w:left w:val="nil"/>
              <w:bottom w:val="single" w:sz="8" w:space="0" w:color="auto"/>
              <w:right w:val="nil"/>
            </w:tcBorders>
            <w:noWrap/>
            <w:vAlign w:val="center"/>
            <w:hideMark/>
          </w:tcPr>
          <w:p w:rsidR="009D37AA" w:rsidRPr="00FB6191" w:rsidRDefault="009D37AA" w:rsidP="006458AB">
            <w:pPr>
              <w:spacing w:after="0" w:line="240" w:lineRule="auto"/>
              <w:rPr>
                <w:rFonts w:ascii="Times New Roman" w:hAnsi="Times New Roman"/>
                <w:b/>
                <w:bCs/>
                <w:color w:val="000000"/>
                <w:szCs w:val="24"/>
              </w:rPr>
            </w:pPr>
            <w:r w:rsidRPr="00FB6191">
              <w:rPr>
                <w:rFonts w:ascii="Times New Roman" w:hAnsi="Times New Roman"/>
                <w:b/>
                <w:bCs/>
                <w:color w:val="000000"/>
                <w:szCs w:val="24"/>
              </w:rPr>
              <w:t>Indicator</w:t>
            </w:r>
          </w:p>
        </w:tc>
        <w:tc>
          <w:tcPr>
            <w:tcW w:w="1735" w:type="dxa"/>
            <w:tcBorders>
              <w:top w:val="single" w:sz="8" w:space="0" w:color="auto"/>
              <w:left w:val="nil"/>
              <w:bottom w:val="single" w:sz="8" w:space="0" w:color="auto"/>
              <w:right w:val="nil"/>
            </w:tcBorders>
            <w:noWrap/>
            <w:vAlign w:val="center"/>
            <w:hideMark/>
          </w:tcPr>
          <w:p w:rsidR="009D37AA" w:rsidRPr="00FB6191" w:rsidRDefault="009D37AA" w:rsidP="006458AB">
            <w:pPr>
              <w:spacing w:after="0" w:line="240" w:lineRule="auto"/>
              <w:jc w:val="center"/>
              <w:rPr>
                <w:rFonts w:ascii="Times New Roman" w:hAnsi="Times New Roman"/>
                <w:b/>
                <w:bCs/>
                <w:color w:val="000000"/>
                <w:szCs w:val="24"/>
              </w:rPr>
            </w:pPr>
            <w:r w:rsidRPr="00FB6191">
              <w:rPr>
                <w:rFonts w:ascii="Times New Roman" w:hAnsi="Times New Roman"/>
                <w:b/>
                <w:bCs/>
                <w:color w:val="000000"/>
                <w:szCs w:val="24"/>
              </w:rPr>
              <w:t>Minimum</w:t>
            </w:r>
          </w:p>
        </w:tc>
        <w:tc>
          <w:tcPr>
            <w:tcW w:w="1332" w:type="dxa"/>
            <w:tcBorders>
              <w:top w:val="single" w:sz="8" w:space="0" w:color="auto"/>
              <w:left w:val="nil"/>
              <w:bottom w:val="single" w:sz="8" w:space="0" w:color="auto"/>
              <w:right w:val="nil"/>
            </w:tcBorders>
            <w:noWrap/>
            <w:vAlign w:val="center"/>
            <w:hideMark/>
          </w:tcPr>
          <w:p w:rsidR="009D37AA" w:rsidRPr="00FB6191" w:rsidRDefault="009D37AA" w:rsidP="006458AB">
            <w:pPr>
              <w:spacing w:after="0" w:line="240" w:lineRule="auto"/>
              <w:jc w:val="center"/>
              <w:rPr>
                <w:rFonts w:ascii="Times New Roman" w:hAnsi="Times New Roman"/>
                <w:b/>
                <w:bCs/>
                <w:color w:val="000000"/>
                <w:szCs w:val="24"/>
              </w:rPr>
            </w:pPr>
            <w:r w:rsidRPr="00FB6191">
              <w:rPr>
                <w:rFonts w:ascii="Times New Roman" w:hAnsi="Times New Roman"/>
                <w:b/>
                <w:bCs/>
                <w:color w:val="000000"/>
                <w:szCs w:val="24"/>
              </w:rPr>
              <w:t>Maximum</w:t>
            </w:r>
          </w:p>
        </w:tc>
      </w:tr>
      <w:tr w:rsidR="009D37AA" w:rsidRPr="009D37AA" w:rsidTr="009D37AA">
        <w:trPr>
          <w:trHeight w:val="257"/>
        </w:trPr>
        <w:tc>
          <w:tcPr>
            <w:tcW w:w="1817" w:type="dxa"/>
            <w:tcBorders>
              <w:top w:val="nil"/>
              <w:left w:val="nil"/>
              <w:bottom w:val="nil"/>
              <w:right w:val="nil"/>
            </w:tcBorders>
            <w:noWrap/>
            <w:vAlign w:val="center"/>
            <w:hideMark/>
          </w:tcPr>
          <w:p w:rsidR="009D37AA" w:rsidRPr="00FB6191" w:rsidRDefault="009D37AA" w:rsidP="006458AB">
            <w:pPr>
              <w:spacing w:after="0" w:line="240" w:lineRule="auto"/>
              <w:rPr>
                <w:rFonts w:ascii="Times New Roman" w:hAnsi="Times New Roman"/>
                <w:color w:val="000000"/>
                <w:szCs w:val="24"/>
              </w:rPr>
            </w:pPr>
            <w:r w:rsidRPr="00FB6191">
              <w:rPr>
                <w:rFonts w:ascii="Times New Roman" w:hAnsi="Times New Roman"/>
                <w:color w:val="000000"/>
                <w:szCs w:val="24"/>
              </w:rPr>
              <w:t>Health</w:t>
            </w:r>
          </w:p>
        </w:tc>
        <w:tc>
          <w:tcPr>
            <w:tcW w:w="3656" w:type="dxa"/>
            <w:tcBorders>
              <w:top w:val="nil"/>
              <w:left w:val="nil"/>
              <w:bottom w:val="nil"/>
              <w:right w:val="nil"/>
            </w:tcBorders>
            <w:noWrap/>
            <w:vAlign w:val="center"/>
            <w:hideMark/>
          </w:tcPr>
          <w:p w:rsidR="009D37AA" w:rsidRPr="00FB6191" w:rsidRDefault="009D37AA" w:rsidP="006458AB">
            <w:pPr>
              <w:spacing w:after="0" w:line="240" w:lineRule="auto"/>
              <w:rPr>
                <w:rFonts w:ascii="Times New Roman" w:hAnsi="Times New Roman"/>
                <w:color w:val="000000"/>
                <w:szCs w:val="24"/>
              </w:rPr>
            </w:pPr>
            <w:r w:rsidRPr="00FB6191">
              <w:rPr>
                <w:rFonts w:ascii="Times New Roman" w:hAnsi="Times New Roman"/>
                <w:color w:val="000000"/>
                <w:szCs w:val="24"/>
              </w:rPr>
              <w:t>Life expectancy (years)</w:t>
            </w:r>
          </w:p>
        </w:tc>
        <w:tc>
          <w:tcPr>
            <w:tcW w:w="1735" w:type="dxa"/>
            <w:tcBorders>
              <w:top w:val="nil"/>
              <w:left w:val="nil"/>
              <w:bottom w:val="nil"/>
              <w:right w:val="nil"/>
            </w:tcBorders>
            <w:noWrap/>
            <w:vAlign w:val="center"/>
            <w:hideMark/>
          </w:tcPr>
          <w:p w:rsidR="009D37AA" w:rsidRPr="00FB6191" w:rsidRDefault="009D37AA" w:rsidP="006458AB">
            <w:pPr>
              <w:spacing w:after="0" w:line="240" w:lineRule="auto"/>
              <w:jc w:val="center"/>
              <w:rPr>
                <w:rFonts w:ascii="Times New Roman" w:hAnsi="Times New Roman"/>
                <w:color w:val="000000"/>
                <w:szCs w:val="24"/>
              </w:rPr>
            </w:pPr>
            <w:r w:rsidRPr="00FB6191">
              <w:rPr>
                <w:rFonts w:ascii="Times New Roman" w:hAnsi="Times New Roman"/>
                <w:color w:val="000000"/>
                <w:szCs w:val="24"/>
              </w:rPr>
              <w:t>20</w:t>
            </w:r>
          </w:p>
        </w:tc>
        <w:tc>
          <w:tcPr>
            <w:tcW w:w="1332" w:type="dxa"/>
            <w:tcBorders>
              <w:top w:val="nil"/>
              <w:left w:val="nil"/>
              <w:bottom w:val="nil"/>
              <w:right w:val="nil"/>
            </w:tcBorders>
            <w:noWrap/>
            <w:vAlign w:val="center"/>
            <w:hideMark/>
          </w:tcPr>
          <w:p w:rsidR="009D37AA" w:rsidRPr="00FB6191" w:rsidRDefault="009D37AA" w:rsidP="006458AB">
            <w:pPr>
              <w:spacing w:after="0" w:line="240" w:lineRule="auto"/>
              <w:jc w:val="center"/>
              <w:rPr>
                <w:rFonts w:ascii="Times New Roman" w:hAnsi="Times New Roman"/>
                <w:color w:val="000000"/>
                <w:szCs w:val="24"/>
              </w:rPr>
            </w:pPr>
            <w:r w:rsidRPr="00FB6191">
              <w:rPr>
                <w:rFonts w:ascii="Times New Roman" w:hAnsi="Times New Roman"/>
                <w:color w:val="000000"/>
                <w:szCs w:val="24"/>
              </w:rPr>
              <w:t>85</w:t>
            </w:r>
          </w:p>
        </w:tc>
      </w:tr>
      <w:tr w:rsidR="009D37AA" w:rsidRPr="009D37AA" w:rsidTr="009D37AA">
        <w:trPr>
          <w:trHeight w:val="257"/>
        </w:trPr>
        <w:tc>
          <w:tcPr>
            <w:tcW w:w="1817" w:type="dxa"/>
            <w:vMerge w:val="restart"/>
            <w:tcBorders>
              <w:top w:val="nil"/>
              <w:left w:val="nil"/>
              <w:bottom w:val="nil"/>
              <w:right w:val="nil"/>
            </w:tcBorders>
            <w:noWrap/>
            <w:vAlign w:val="center"/>
            <w:hideMark/>
          </w:tcPr>
          <w:p w:rsidR="009D37AA" w:rsidRPr="00FB6191" w:rsidRDefault="009D37AA" w:rsidP="006458AB">
            <w:pPr>
              <w:spacing w:after="0" w:line="240" w:lineRule="auto"/>
              <w:rPr>
                <w:rFonts w:ascii="Times New Roman" w:hAnsi="Times New Roman"/>
                <w:color w:val="000000"/>
                <w:szCs w:val="24"/>
              </w:rPr>
            </w:pPr>
            <w:r w:rsidRPr="00FB6191">
              <w:rPr>
                <w:rFonts w:ascii="Times New Roman" w:hAnsi="Times New Roman"/>
                <w:color w:val="000000"/>
                <w:szCs w:val="24"/>
              </w:rPr>
              <w:t>Education</w:t>
            </w:r>
          </w:p>
        </w:tc>
        <w:tc>
          <w:tcPr>
            <w:tcW w:w="3656" w:type="dxa"/>
            <w:tcBorders>
              <w:top w:val="nil"/>
              <w:left w:val="nil"/>
              <w:bottom w:val="nil"/>
              <w:right w:val="nil"/>
            </w:tcBorders>
            <w:noWrap/>
            <w:vAlign w:val="center"/>
            <w:hideMark/>
          </w:tcPr>
          <w:p w:rsidR="009D37AA" w:rsidRPr="00FB6191" w:rsidRDefault="009D37AA" w:rsidP="006458AB">
            <w:pPr>
              <w:spacing w:after="0" w:line="240" w:lineRule="auto"/>
              <w:rPr>
                <w:rFonts w:ascii="Times New Roman" w:hAnsi="Times New Roman"/>
                <w:color w:val="000000"/>
                <w:szCs w:val="24"/>
              </w:rPr>
            </w:pPr>
            <w:r w:rsidRPr="00FB6191">
              <w:rPr>
                <w:rFonts w:ascii="Times New Roman" w:hAnsi="Times New Roman"/>
                <w:color w:val="000000"/>
                <w:szCs w:val="24"/>
              </w:rPr>
              <w:t>Expected years of schooling (years)</w:t>
            </w:r>
          </w:p>
        </w:tc>
        <w:tc>
          <w:tcPr>
            <w:tcW w:w="1735" w:type="dxa"/>
            <w:tcBorders>
              <w:top w:val="nil"/>
              <w:left w:val="nil"/>
              <w:bottom w:val="nil"/>
              <w:right w:val="nil"/>
            </w:tcBorders>
            <w:noWrap/>
            <w:vAlign w:val="center"/>
            <w:hideMark/>
          </w:tcPr>
          <w:p w:rsidR="009D37AA" w:rsidRPr="00FB6191" w:rsidRDefault="009D37AA" w:rsidP="006458AB">
            <w:pPr>
              <w:spacing w:after="0" w:line="240" w:lineRule="auto"/>
              <w:jc w:val="center"/>
              <w:rPr>
                <w:rFonts w:ascii="Times New Roman" w:hAnsi="Times New Roman"/>
                <w:color w:val="000000"/>
                <w:szCs w:val="24"/>
              </w:rPr>
            </w:pPr>
            <w:r w:rsidRPr="00FB6191">
              <w:rPr>
                <w:rFonts w:ascii="Times New Roman" w:hAnsi="Times New Roman"/>
                <w:color w:val="000000"/>
                <w:szCs w:val="24"/>
              </w:rPr>
              <w:t>0</w:t>
            </w:r>
          </w:p>
        </w:tc>
        <w:tc>
          <w:tcPr>
            <w:tcW w:w="1332" w:type="dxa"/>
            <w:tcBorders>
              <w:top w:val="nil"/>
              <w:left w:val="nil"/>
              <w:bottom w:val="nil"/>
              <w:right w:val="nil"/>
            </w:tcBorders>
            <w:noWrap/>
            <w:vAlign w:val="center"/>
            <w:hideMark/>
          </w:tcPr>
          <w:p w:rsidR="009D37AA" w:rsidRPr="00FB6191" w:rsidRDefault="009D37AA" w:rsidP="006458AB">
            <w:pPr>
              <w:spacing w:after="0" w:line="240" w:lineRule="auto"/>
              <w:jc w:val="center"/>
              <w:rPr>
                <w:rFonts w:ascii="Times New Roman" w:hAnsi="Times New Roman"/>
                <w:color w:val="000000"/>
                <w:szCs w:val="24"/>
              </w:rPr>
            </w:pPr>
            <w:r w:rsidRPr="00FB6191">
              <w:rPr>
                <w:rFonts w:ascii="Times New Roman" w:hAnsi="Times New Roman"/>
                <w:color w:val="000000"/>
                <w:szCs w:val="24"/>
              </w:rPr>
              <w:t>18</w:t>
            </w:r>
          </w:p>
        </w:tc>
      </w:tr>
      <w:tr w:rsidR="009D37AA" w:rsidRPr="009D37AA" w:rsidTr="009D37AA">
        <w:trPr>
          <w:trHeight w:val="257"/>
        </w:trPr>
        <w:tc>
          <w:tcPr>
            <w:tcW w:w="1817" w:type="dxa"/>
            <w:vMerge/>
            <w:tcBorders>
              <w:top w:val="nil"/>
              <w:left w:val="nil"/>
              <w:bottom w:val="nil"/>
              <w:right w:val="nil"/>
            </w:tcBorders>
            <w:vAlign w:val="center"/>
            <w:hideMark/>
          </w:tcPr>
          <w:p w:rsidR="009D37AA" w:rsidRPr="00FB6191" w:rsidRDefault="009D37AA" w:rsidP="006458AB">
            <w:pPr>
              <w:spacing w:after="0" w:line="240" w:lineRule="auto"/>
              <w:rPr>
                <w:rFonts w:ascii="Times New Roman" w:hAnsi="Times New Roman"/>
                <w:color w:val="000000"/>
                <w:szCs w:val="24"/>
              </w:rPr>
            </w:pPr>
          </w:p>
        </w:tc>
        <w:tc>
          <w:tcPr>
            <w:tcW w:w="3656" w:type="dxa"/>
            <w:tcBorders>
              <w:top w:val="nil"/>
              <w:left w:val="nil"/>
              <w:bottom w:val="nil"/>
              <w:right w:val="nil"/>
            </w:tcBorders>
            <w:noWrap/>
            <w:vAlign w:val="center"/>
            <w:hideMark/>
          </w:tcPr>
          <w:p w:rsidR="009D37AA" w:rsidRPr="00FB6191" w:rsidRDefault="009D37AA" w:rsidP="006458AB">
            <w:pPr>
              <w:spacing w:after="0" w:line="240" w:lineRule="auto"/>
              <w:rPr>
                <w:rFonts w:ascii="Times New Roman" w:hAnsi="Times New Roman"/>
                <w:color w:val="000000"/>
                <w:szCs w:val="24"/>
              </w:rPr>
            </w:pPr>
            <w:r w:rsidRPr="00FB6191">
              <w:rPr>
                <w:rFonts w:ascii="Times New Roman" w:hAnsi="Times New Roman"/>
                <w:color w:val="000000"/>
                <w:szCs w:val="24"/>
              </w:rPr>
              <w:t>Mean years of schooling (years)</w:t>
            </w:r>
          </w:p>
        </w:tc>
        <w:tc>
          <w:tcPr>
            <w:tcW w:w="1735" w:type="dxa"/>
            <w:tcBorders>
              <w:top w:val="nil"/>
              <w:left w:val="nil"/>
              <w:bottom w:val="nil"/>
              <w:right w:val="nil"/>
            </w:tcBorders>
            <w:noWrap/>
            <w:vAlign w:val="center"/>
            <w:hideMark/>
          </w:tcPr>
          <w:p w:rsidR="009D37AA" w:rsidRPr="00FB6191" w:rsidRDefault="009D37AA" w:rsidP="006458AB">
            <w:pPr>
              <w:spacing w:after="0" w:line="240" w:lineRule="auto"/>
              <w:jc w:val="center"/>
              <w:rPr>
                <w:rFonts w:ascii="Times New Roman" w:hAnsi="Times New Roman"/>
                <w:color w:val="000000"/>
                <w:szCs w:val="24"/>
              </w:rPr>
            </w:pPr>
            <w:r w:rsidRPr="00FB6191">
              <w:rPr>
                <w:rFonts w:ascii="Times New Roman" w:hAnsi="Times New Roman"/>
                <w:color w:val="000000"/>
                <w:szCs w:val="24"/>
              </w:rPr>
              <w:t>0</w:t>
            </w:r>
          </w:p>
        </w:tc>
        <w:tc>
          <w:tcPr>
            <w:tcW w:w="1332" w:type="dxa"/>
            <w:tcBorders>
              <w:top w:val="nil"/>
              <w:left w:val="nil"/>
              <w:bottom w:val="nil"/>
              <w:right w:val="nil"/>
            </w:tcBorders>
            <w:noWrap/>
            <w:vAlign w:val="center"/>
            <w:hideMark/>
          </w:tcPr>
          <w:p w:rsidR="009D37AA" w:rsidRPr="00FB6191" w:rsidRDefault="009D37AA" w:rsidP="006458AB">
            <w:pPr>
              <w:spacing w:after="0" w:line="240" w:lineRule="auto"/>
              <w:jc w:val="center"/>
              <w:rPr>
                <w:rFonts w:ascii="Times New Roman" w:hAnsi="Times New Roman"/>
                <w:color w:val="000000"/>
                <w:szCs w:val="24"/>
              </w:rPr>
            </w:pPr>
            <w:r w:rsidRPr="00FB6191">
              <w:rPr>
                <w:rFonts w:ascii="Times New Roman" w:hAnsi="Times New Roman"/>
                <w:color w:val="000000"/>
                <w:szCs w:val="24"/>
              </w:rPr>
              <w:t>15</w:t>
            </w:r>
          </w:p>
        </w:tc>
      </w:tr>
      <w:tr w:rsidR="009D37AA" w:rsidRPr="009D37AA" w:rsidTr="009D37AA">
        <w:trPr>
          <w:trHeight w:val="268"/>
        </w:trPr>
        <w:tc>
          <w:tcPr>
            <w:tcW w:w="1817" w:type="dxa"/>
            <w:tcBorders>
              <w:top w:val="nil"/>
              <w:left w:val="nil"/>
              <w:bottom w:val="single" w:sz="8" w:space="0" w:color="auto"/>
              <w:right w:val="nil"/>
            </w:tcBorders>
            <w:noWrap/>
            <w:vAlign w:val="center"/>
            <w:hideMark/>
          </w:tcPr>
          <w:p w:rsidR="009D37AA" w:rsidRPr="00FB6191" w:rsidRDefault="009D37AA" w:rsidP="006458AB">
            <w:pPr>
              <w:spacing w:after="0" w:line="240" w:lineRule="auto"/>
              <w:rPr>
                <w:rFonts w:ascii="Times New Roman" w:hAnsi="Times New Roman"/>
                <w:color w:val="000000"/>
                <w:szCs w:val="24"/>
              </w:rPr>
            </w:pPr>
            <w:r w:rsidRPr="00FB6191">
              <w:rPr>
                <w:rFonts w:ascii="Times New Roman" w:hAnsi="Times New Roman"/>
                <w:color w:val="000000"/>
                <w:szCs w:val="24"/>
              </w:rPr>
              <w:t>Standard of living</w:t>
            </w:r>
          </w:p>
        </w:tc>
        <w:tc>
          <w:tcPr>
            <w:tcW w:w="3656" w:type="dxa"/>
            <w:tcBorders>
              <w:top w:val="nil"/>
              <w:left w:val="nil"/>
              <w:bottom w:val="single" w:sz="8" w:space="0" w:color="auto"/>
              <w:right w:val="nil"/>
            </w:tcBorders>
            <w:noWrap/>
            <w:vAlign w:val="center"/>
            <w:hideMark/>
          </w:tcPr>
          <w:p w:rsidR="009D37AA" w:rsidRPr="00FB6191" w:rsidRDefault="009D37AA" w:rsidP="006458AB">
            <w:pPr>
              <w:spacing w:after="0" w:line="240" w:lineRule="auto"/>
              <w:rPr>
                <w:rFonts w:ascii="Times New Roman" w:hAnsi="Times New Roman"/>
                <w:color w:val="000000"/>
                <w:szCs w:val="24"/>
              </w:rPr>
            </w:pPr>
            <w:r w:rsidRPr="00FB6191">
              <w:rPr>
                <w:rFonts w:ascii="Times New Roman" w:hAnsi="Times New Roman"/>
                <w:color w:val="000000"/>
                <w:szCs w:val="24"/>
              </w:rPr>
              <w:t>GNI per capita (2017 PPP$)</w:t>
            </w:r>
          </w:p>
        </w:tc>
        <w:tc>
          <w:tcPr>
            <w:tcW w:w="1735" w:type="dxa"/>
            <w:tcBorders>
              <w:top w:val="nil"/>
              <w:left w:val="nil"/>
              <w:bottom w:val="single" w:sz="8" w:space="0" w:color="auto"/>
              <w:right w:val="nil"/>
            </w:tcBorders>
            <w:noWrap/>
            <w:vAlign w:val="center"/>
            <w:hideMark/>
          </w:tcPr>
          <w:p w:rsidR="009D37AA" w:rsidRPr="00FB6191" w:rsidRDefault="009D37AA" w:rsidP="006458AB">
            <w:pPr>
              <w:spacing w:after="0" w:line="240" w:lineRule="auto"/>
              <w:jc w:val="center"/>
              <w:rPr>
                <w:rFonts w:ascii="Times New Roman" w:hAnsi="Times New Roman"/>
                <w:color w:val="000000"/>
                <w:szCs w:val="24"/>
              </w:rPr>
            </w:pPr>
            <w:r w:rsidRPr="00FB6191">
              <w:rPr>
                <w:rFonts w:ascii="Times New Roman" w:hAnsi="Times New Roman"/>
                <w:color w:val="000000"/>
                <w:szCs w:val="24"/>
              </w:rPr>
              <w:t>100</w:t>
            </w:r>
          </w:p>
        </w:tc>
        <w:tc>
          <w:tcPr>
            <w:tcW w:w="1332" w:type="dxa"/>
            <w:tcBorders>
              <w:top w:val="nil"/>
              <w:left w:val="nil"/>
              <w:bottom w:val="single" w:sz="8" w:space="0" w:color="auto"/>
              <w:right w:val="nil"/>
            </w:tcBorders>
            <w:noWrap/>
            <w:vAlign w:val="center"/>
            <w:hideMark/>
          </w:tcPr>
          <w:p w:rsidR="009D37AA" w:rsidRPr="00FB6191" w:rsidRDefault="009D37AA" w:rsidP="006458AB">
            <w:pPr>
              <w:spacing w:after="0" w:line="240" w:lineRule="auto"/>
              <w:jc w:val="center"/>
              <w:rPr>
                <w:rFonts w:ascii="Times New Roman" w:hAnsi="Times New Roman"/>
                <w:color w:val="000000"/>
                <w:szCs w:val="24"/>
              </w:rPr>
            </w:pPr>
            <w:r w:rsidRPr="00FB6191">
              <w:rPr>
                <w:rFonts w:ascii="Times New Roman" w:hAnsi="Times New Roman"/>
                <w:color w:val="000000"/>
                <w:szCs w:val="24"/>
              </w:rPr>
              <w:t>75,000</w:t>
            </w:r>
          </w:p>
        </w:tc>
      </w:tr>
    </w:tbl>
    <w:p w:rsidR="000E3A04" w:rsidRPr="009D37AA" w:rsidRDefault="009D37AA" w:rsidP="00763BAF">
      <w:pPr>
        <w:spacing w:line="276" w:lineRule="auto"/>
        <w:jc w:val="both"/>
        <w:rPr>
          <w:rFonts w:ascii="Times New Roman" w:hAnsi="Times New Roman"/>
          <w:sz w:val="18"/>
          <w:szCs w:val="18"/>
        </w:rPr>
      </w:pPr>
      <w:r w:rsidRPr="009D37AA">
        <w:rPr>
          <w:rFonts w:ascii="Times New Roman" w:hAnsi="Times New Roman"/>
          <w:sz w:val="18"/>
          <w:szCs w:val="18"/>
        </w:rPr>
        <w:t xml:space="preserve">Source: 2018 </w:t>
      </w:r>
      <w:r w:rsidRPr="009D37AA">
        <w:rPr>
          <w:rFonts w:ascii="Times New Roman" w:hAnsi="Times New Roman"/>
          <w:sz w:val="18"/>
          <w:szCs w:val="18"/>
        </w:rPr>
        <w:t>UN Human Development Report</w:t>
      </w:r>
    </w:p>
    <w:p w:rsidR="000E3A04" w:rsidRDefault="003B367F" w:rsidP="00763BAF">
      <w:pPr>
        <w:spacing w:line="276" w:lineRule="auto"/>
        <w:jc w:val="both"/>
        <w:rPr>
          <w:rFonts w:ascii="Times New Roman" w:hAnsi="Times New Roman"/>
          <w:sz w:val="24"/>
        </w:rPr>
      </w:pPr>
      <w:r w:rsidRPr="003B367F">
        <w:rPr>
          <w:rFonts w:ascii="Times New Roman" w:hAnsi="Times New Roman"/>
          <w:sz w:val="24"/>
        </w:rPr>
        <w:t>Taking into account the values in Table 1, the index of each dimension referring to each country is calculated as follows:</w:t>
      </w:r>
    </w:p>
    <w:p w:rsidR="003B367F" w:rsidRDefault="00DD248B" w:rsidP="00DD248B">
      <w:pPr>
        <w:spacing w:line="276" w:lineRule="auto"/>
        <w:jc w:val="both"/>
        <w:rPr>
          <w:rFonts w:ascii="Times New Roman" w:hAnsi="Times New Roman"/>
          <w:sz w:val="24"/>
        </w:rPr>
      </w:pPr>
      <w:r>
        <w:rPr>
          <w:rFonts w:ascii="Times New Roman" w:hAnsi="Times New Roman"/>
          <w:b/>
          <w:sz w:val="24"/>
          <w:szCs w:val="24"/>
        </w:rPr>
        <w:t xml:space="preserve">                 </w:t>
      </w:r>
      <m:oMath>
        <m:r>
          <m:rPr>
            <m:sty m:val="bi"/>
          </m:rPr>
          <w:rPr>
            <w:rFonts w:ascii="Cambria Math" w:hAnsi="Cambria Math"/>
            <w:sz w:val="24"/>
            <w:szCs w:val="24"/>
          </w:rPr>
          <m:t xml:space="preserve">  </m:t>
        </m:r>
        <m:r>
          <m:rPr>
            <m:sty m:val="bi"/>
          </m:rPr>
          <w:rPr>
            <w:rFonts w:ascii="Cambria Math" w:hAnsi="Cambria Math"/>
            <w:sz w:val="24"/>
            <w:szCs w:val="24"/>
          </w:rPr>
          <m:t>Dimension Index</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actual value-minimum value</m:t>
            </m:r>
          </m:num>
          <m:den>
            <m:r>
              <w:rPr>
                <w:rFonts w:ascii="Cambria Math" w:hAnsi="Cambria Math"/>
                <w:sz w:val="24"/>
                <w:szCs w:val="24"/>
              </w:rPr>
              <m:t>maximum value-minimum value</m:t>
            </m:r>
          </m:den>
        </m:f>
      </m:oMath>
      <w:r w:rsidR="003B367F" w:rsidRPr="003B367F">
        <w:rPr>
          <w:rFonts w:ascii="Times New Roman" w:hAnsi="Times New Roman"/>
          <w:sz w:val="24"/>
        </w:rPr>
        <w:t xml:space="preserve">    </w:t>
      </w:r>
      <w:r>
        <w:rPr>
          <w:rFonts w:ascii="Times New Roman" w:hAnsi="Times New Roman"/>
          <w:sz w:val="24"/>
        </w:rPr>
        <w:t xml:space="preserve">                       </w:t>
      </w:r>
      <w:r w:rsidR="003B367F" w:rsidRPr="003B367F">
        <w:rPr>
          <w:rFonts w:ascii="Times New Roman" w:hAnsi="Times New Roman"/>
          <w:sz w:val="24"/>
        </w:rPr>
        <w:t>[2]</w:t>
      </w:r>
    </w:p>
    <w:p w:rsidR="001F362B" w:rsidRDefault="001F362B" w:rsidP="00763BAF">
      <w:pPr>
        <w:spacing w:line="276" w:lineRule="auto"/>
        <w:jc w:val="both"/>
        <w:rPr>
          <w:rFonts w:ascii="Times New Roman" w:hAnsi="Times New Roman"/>
          <w:sz w:val="24"/>
        </w:rPr>
      </w:pPr>
      <w:bookmarkStart w:id="0" w:name="_GoBack"/>
      <w:bookmarkEnd w:id="0"/>
    </w:p>
    <w:p w:rsidR="001F362B" w:rsidRDefault="001F362B" w:rsidP="00763BAF">
      <w:pPr>
        <w:spacing w:line="276" w:lineRule="auto"/>
        <w:jc w:val="both"/>
        <w:rPr>
          <w:rFonts w:ascii="Times New Roman" w:hAnsi="Times New Roman"/>
          <w:sz w:val="24"/>
        </w:rPr>
      </w:pPr>
    </w:p>
    <w:p w:rsidR="001F362B" w:rsidRDefault="001F362B" w:rsidP="00763BAF">
      <w:pPr>
        <w:spacing w:line="276" w:lineRule="auto"/>
        <w:jc w:val="both"/>
        <w:rPr>
          <w:rFonts w:ascii="Times New Roman" w:hAnsi="Times New Roman"/>
          <w:sz w:val="24"/>
        </w:rPr>
      </w:pPr>
    </w:p>
    <w:p w:rsidR="001F362B" w:rsidRDefault="001F362B" w:rsidP="00763BAF">
      <w:pPr>
        <w:spacing w:line="276" w:lineRule="auto"/>
        <w:jc w:val="both"/>
        <w:rPr>
          <w:rFonts w:ascii="Times New Roman" w:hAnsi="Times New Roman"/>
          <w:sz w:val="24"/>
        </w:rPr>
      </w:pPr>
    </w:p>
    <w:p w:rsidR="001F362B" w:rsidRDefault="001F362B" w:rsidP="00763BAF">
      <w:pPr>
        <w:spacing w:line="276" w:lineRule="auto"/>
        <w:jc w:val="both"/>
        <w:rPr>
          <w:rFonts w:ascii="Times New Roman" w:hAnsi="Times New Roman"/>
          <w:sz w:val="24"/>
        </w:rPr>
      </w:pPr>
    </w:p>
    <w:p w:rsidR="001F362B" w:rsidRDefault="001F362B" w:rsidP="00763BAF">
      <w:pPr>
        <w:spacing w:line="276" w:lineRule="auto"/>
        <w:jc w:val="both"/>
        <w:rPr>
          <w:rFonts w:ascii="Times New Roman" w:hAnsi="Times New Roman"/>
          <w:sz w:val="24"/>
        </w:rPr>
      </w:pPr>
    </w:p>
    <w:p w:rsidR="001F362B" w:rsidRDefault="001F362B" w:rsidP="00763BAF">
      <w:pPr>
        <w:spacing w:line="276" w:lineRule="auto"/>
        <w:jc w:val="both"/>
        <w:rPr>
          <w:rFonts w:ascii="Times New Roman" w:hAnsi="Times New Roman"/>
          <w:sz w:val="24"/>
        </w:rPr>
      </w:pPr>
    </w:p>
    <w:p w:rsidR="001F362B" w:rsidRDefault="001F362B" w:rsidP="00763BAF">
      <w:pPr>
        <w:spacing w:line="276" w:lineRule="auto"/>
        <w:jc w:val="both"/>
        <w:rPr>
          <w:rFonts w:ascii="Times New Roman" w:hAnsi="Times New Roman"/>
          <w:sz w:val="24"/>
        </w:rPr>
      </w:pPr>
    </w:p>
    <w:p w:rsidR="001F362B" w:rsidRDefault="001F362B" w:rsidP="00763BAF">
      <w:pPr>
        <w:spacing w:line="276" w:lineRule="auto"/>
        <w:jc w:val="both"/>
        <w:rPr>
          <w:rFonts w:ascii="Times New Roman" w:hAnsi="Times New Roman"/>
          <w:sz w:val="24"/>
        </w:rPr>
      </w:pPr>
    </w:p>
    <w:p w:rsidR="001F362B" w:rsidRDefault="001F362B" w:rsidP="00763BAF">
      <w:pPr>
        <w:spacing w:line="276" w:lineRule="auto"/>
        <w:jc w:val="both"/>
        <w:rPr>
          <w:rFonts w:ascii="Times New Roman" w:hAnsi="Times New Roman"/>
          <w:sz w:val="24"/>
        </w:rPr>
      </w:pPr>
    </w:p>
    <w:p w:rsidR="001F362B" w:rsidRDefault="001F362B" w:rsidP="00763BAF">
      <w:pPr>
        <w:spacing w:line="276" w:lineRule="auto"/>
        <w:jc w:val="both"/>
        <w:rPr>
          <w:rFonts w:ascii="Times New Roman" w:hAnsi="Times New Roman"/>
          <w:sz w:val="24"/>
        </w:rPr>
      </w:pPr>
    </w:p>
    <w:p w:rsidR="001F362B" w:rsidRDefault="001F362B" w:rsidP="00763BAF">
      <w:pPr>
        <w:spacing w:line="276" w:lineRule="auto"/>
        <w:jc w:val="both"/>
        <w:rPr>
          <w:rFonts w:ascii="Times New Roman" w:hAnsi="Times New Roman"/>
          <w:sz w:val="24"/>
        </w:rPr>
      </w:pPr>
    </w:p>
    <w:p w:rsidR="001F362B" w:rsidRDefault="001F362B" w:rsidP="00763BAF">
      <w:pPr>
        <w:spacing w:line="276" w:lineRule="auto"/>
        <w:jc w:val="both"/>
        <w:rPr>
          <w:rFonts w:ascii="Times New Roman" w:hAnsi="Times New Roman"/>
          <w:sz w:val="24"/>
        </w:rPr>
      </w:pPr>
    </w:p>
    <w:p w:rsidR="001F362B" w:rsidRDefault="001F362B" w:rsidP="00763BAF">
      <w:pPr>
        <w:spacing w:line="276" w:lineRule="auto"/>
        <w:jc w:val="both"/>
        <w:rPr>
          <w:rFonts w:ascii="Times New Roman" w:hAnsi="Times New Roman"/>
          <w:sz w:val="24"/>
        </w:rPr>
      </w:pPr>
    </w:p>
    <w:p w:rsidR="001F362B" w:rsidRDefault="001F362B" w:rsidP="00763BAF">
      <w:pPr>
        <w:spacing w:line="276" w:lineRule="auto"/>
        <w:jc w:val="both"/>
        <w:rPr>
          <w:rFonts w:ascii="Times New Roman" w:hAnsi="Times New Roman"/>
          <w:sz w:val="24"/>
        </w:rPr>
      </w:pPr>
    </w:p>
    <w:p w:rsidR="001F362B" w:rsidRDefault="001F362B" w:rsidP="00763BAF">
      <w:pPr>
        <w:spacing w:line="276" w:lineRule="auto"/>
        <w:jc w:val="both"/>
        <w:rPr>
          <w:rFonts w:ascii="Times New Roman" w:hAnsi="Times New Roman"/>
          <w:sz w:val="24"/>
        </w:rPr>
      </w:pPr>
    </w:p>
    <w:p w:rsidR="001F362B" w:rsidRDefault="001F362B" w:rsidP="00763BAF">
      <w:pPr>
        <w:spacing w:line="276" w:lineRule="auto"/>
        <w:jc w:val="both"/>
        <w:rPr>
          <w:rFonts w:ascii="Times New Roman" w:hAnsi="Times New Roman"/>
          <w:sz w:val="24"/>
        </w:rPr>
      </w:pPr>
    </w:p>
    <w:p w:rsidR="001F362B" w:rsidRDefault="001F362B" w:rsidP="00763BAF">
      <w:pPr>
        <w:spacing w:line="276" w:lineRule="auto"/>
        <w:jc w:val="both"/>
        <w:rPr>
          <w:rFonts w:ascii="Times New Roman" w:hAnsi="Times New Roman"/>
          <w:sz w:val="24"/>
        </w:rPr>
      </w:pPr>
    </w:p>
    <w:p w:rsidR="001F362B" w:rsidRDefault="001F362B" w:rsidP="00763BAF">
      <w:pPr>
        <w:spacing w:line="276" w:lineRule="auto"/>
        <w:jc w:val="both"/>
        <w:rPr>
          <w:rFonts w:ascii="Times New Roman" w:hAnsi="Times New Roman"/>
          <w:sz w:val="24"/>
        </w:rPr>
      </w:pPr>
    </w:p>
    <w:p w:rsidR="000935A1" w:rsidRDefault="000935A1" w:rsidP="00763BAF">
      <w:pPr>
        <w:spacing w:line="276" w:lineRule="auto"/>
        <w:jc w:val="both"/>
        <w:rPr>
          <w:rFonts w:ascii="Times New Roman" w:hAnsi="Times New Roman"/>
          <w:sz w:val="24"/>
        </w:rPr>
      </w:pPr>
    </w:p>
    <w:p w:rsidR="000935A1" w:rsidRDefault="000935A1" w:rsidP="00763BAF">
      <w:pPr>
        <w:spacing w:line="276" w:lineRule="auto"/>
        <w:jc w:val="both"/>
        <w:rPr>
          <w:rFonts w:ascii="Times New Roman" w:hAnsi="Times New Roman"/>
          <w:sz w:val="24"/>
        </w:rPr>
      </w:pPr>
    </w:p>
    <w:p w:rsidR="001F362B" w:rsidRDefault="001F362B" w:rsidP="00763BAF">
      <w:pPr>
        <w:spacing w:line="276" w:lineRule="auto"/>
        <w:jc w:val="both"/>
        <w:rPr>
          <w:rFonts w:ascii="Times New Roman" w:hAnsi="Times New Roman"/>
          <w:sz w:val="24"/>
        </w:rPr>
      </w:pPr>
    </w:p>
    <w:p w:rsidR="001F362B" w:rsidRPr="001F362B" w:rsidRDefault="001F362B" w:rsidP="00763BAF">
      <w:pPr>
        <w:spacing w:line="276" w:lineRule="auto"/>
        <w:jc w:val="both"/>
        <w:rPr>
          <w:rFonts w:ascii="Times New Roman" w:hAnsi="Times New Roman"/>
          <w:b/>
          <w:sz w:val="24"/>
        </w:rPr>
      </w:pPr>
      <w:r w:rsidRPr="001F362B">
        <w:rPr>
          <w:rFonts w:ascii="Times New Roman" w:hAnsi="Times New Roman"/>
          <w:b/>
          <w:sz w:val="24"/>
        </w:rPr>
        <w:lastRenderedPageBreak/>
        <w:t>3. A multivariate analysis of the human development index: Proposal and Comparison</w:t>
      </w:r>
    </w:p>
    <w:sectPr w:rsidR="001F362B" w:rsidRPr="001F362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A04" w:rsidRDefault="000E3A04" w:rsidP="000E3A04">
      <w:pPr>
        <w:spacing w:after="0" w:line="240" w:lineRule="auto"/>
      </w:pPr>
      <w:r>
        <w:separator/>
      </w:r>
    </w:p>
  </w:endnote>
  <w:endnote w:type="continuationSeparator" w:id="0">
    <w:p w:rsidR="000E3A04" w:rsidRDefault="000E3A04" w:rsidP="000E3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A04" w:rsidRDefault="000E3A04" w:rsidP="000E3A04">
      <w:pPr>
        <w:spacing w:after="0" w:line="240" w:lineRule="auto"/>
      </w:pPr>
      <w:r>
        <w:separator/>
      </w:r>
    </w:p>
  </w:footnote>
  <w:footnote w:type="continuationSeparator" w:id="0">
    <w:p w:rsidR="000E3A04" w:rsidRDefault="000E3A04" w:rsidP="000E3A04">
      <w:pPr>
        <w:spacing w:after="0" w:line="240" w:lineRule="auto"/>
      </w:pPr>
      <w:r>
        <w:continuationSeparator/>
      </w:r>
    </w:p>
  </w:footnote>
  <w:footnote w:id="1">
    <w:p w:rsidR="000E3A04" w:rsidRPr="009D37AA" w:rsidRDefault="000E3A04" w:rsidP="000E3A04">
      <w:pPr>
        <w:pStyle w:val="Textodenotaderodap"/>
        <w:rPr>
          <w:rFonts w:ascii="Times New Roman" w:hAnsi="Times New Roman"/>
        </w:rPr>
      </w:pPr>
      <w:r w:rsidRPr="009D37AA">
        <w:rPr>
          <w:rStyle w:val="Refdenotaderodap"/>
          <w:rFonts w:ascii="Times New Roman" w:hAnsi="Times New Roman"/>
        </w:rPr>
        <w:footnoteRef/>
      </w:r>
      <w:r w:rsidRPr="009D37AA">
        <w:rPr>
          <w:rFonts w:ascii="Times New Roman" w:hAnsi="Times New Roman"/>
        </w:rPr>
        <w:t xml:space="preserve"> </w:t>
      </w:r>
      <w:r w:rsidRPr="009D37AA">
        <w:rPr>
          <w:rFonts w:ascii="Times New Roman" w:hAnsi="Times New Roman"/>
        </w:rPr>
        <w:t>This topic is based on the technical note of the United Nations Human Development Report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8B0"/>
    <w:rsid w:val="000935A1"/>
    <w:rsid w:val="000E3A04"/>
    <w:rsid w:val="001F362B"/>
    <w:rsid w:val="00243A00"/>
    <w:rsid w:val="002648B0"/>
    <w:rsid w:val="00375DF2"/>
    <w:rsid w:val="003B367F"/>
    <w:rsid w:val="003E75EC"/>
    <w:rsid w:val="004A0CCC"/>
    <w:rsid w:val="006A4835"/>
    <w:rsid w:val="00763BAF"/>
    <w:rsid w:val="009D37AA"/>
    <w:rsid w:val="00A2514F"/>
    <w:rsid w:val="00B34743"/>
    <w:rsid w:val="00DD248B"/>
    <w:rsid w:val="00FB619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AA05F"/>
  <w15:chartTrackingRefBased/>
  <w15:docId w15:val="{9BC5EB04-F236-4128-BCA3-588770F3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4"/>
    <w:rPr>
      <w:rFonts w:eastAsiaTheme="minorEastAsia" w:cs="Times New Roman"/>
      <w:lang w:val="en-GB"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arter"/>
    <w:uiPriority w:val="99"/>
    <w:semiHidden/>
    <w:unhideWhenUsed/>
    <w:rsid w:val="000E3A04"/>
    <w:rPr>
      <w:sz w:val="20"/>
      <w:szCs w:val="20"/>
    </w:rPr>
  </w:style>
  <w:style w:type="character" w:customStyle="1" w:styleId="TextodenotaderodapCarter">
    <w:name w:val="Texto de nota de rodapé Caráter"/>
    <w:basedOn w:val="Tipodeletrapredefinidodopargrafo"/>
    <w:link w:val="Textodenotaderodap"/>
    <w:uiPriority w:val="99"/>
    <w:semiHidden/>
    <w:rsid w:val="000E3A04"/>
    <w:rPr>
      <w:rFonts w:eastAsiaTheme="minorEastAsia" w:cs="Times New Roman"/>
      <w:sz w:val="20"/>
      <w:szCs w:val="20"/>
      <w:lang w:val="en-GB" w:eastAsia="en-GB"/>
    </w:rPr>
  </w:style>
  <w:style w:type="character" w:styleId="Refdenotaderodap">
    <w:name w:val="footnote reference"/>
    <w:basedOn w:val="Tipodeletrapredefinidodopargrafo"/>
    <w:uiPriority w:val="99"/>
    <w:semiHidden/>
    <w:unhideWhenUsed/>
    <w:rsid w:val="000E3A04"/>
    <w:rPr>
      <w:rFonts w:cs="Times New Roman"/>
      <w:vertAlign w:val="superscript"/>
    </w:rPr>
  </w:style>
  <w:style w:type="character" w:styleId="TextodoMarcadordePosio">
    <w:name w:val="Placeholder Text"/>
    <w:basedOn w:val="Tipodeletrapredefinidodopargrafo"/>
    <w:uiPriority w:val="99"/>
    <w:semiHidden/>
    <w:rsid w:val="00763B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518</Words>
  <Characters>2802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Tavares</dc:creator>
  <cp:keywords/>
  <dc:description/>
  <cp:lastModifiedBy>Rodolfo Tavares</cp:lastModifiedBy>
  <cp:revision>11</cp:revision>
  <dcterms:created xsi:type="dcterms:W3CDTF">2021-11-16T08:41:00Z</dcterms:created>
  <dcterms:modified xsi:type="dcterms:W3CDTF">2021-11-16T09:36:00Z</dcterms:modified>
</cp:coreProperties>
</file>