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AF" w:rsidRDefault="00763BAF" w:rsidP="00763BAF">
      <w:pPr>
        <w:spacing w:line="276" w:lineRule="auto"/>
        <w:jc w:val="both"/>
        <w:rPr>
          <w:rFonts w:ascii="Times New Roman" w:hAnsi="Times New Roman"/>
          <w:b/>
          <w:bCs/>
          <w:sz w:val="24"/>
        </w:rPr>
      </w:pPr>
      <w:r>
        <w:rPr>
          <w:rFonts w:ascii="Times New Roman" w:hAnsi="Times New Roman"/>
          <w:b/>
          <w:bCs/>
          <w:sz w:val="24"/>
        </w:rPr>
        <w:t xml:space="preserve">1. </w:t>
      </w:r>
      <w:r w:rsidRPr="00763BAF">
        <w:rPr>
          <w:rFonts w:ascii="Times New Roman" w:hAnsi="Times New Roman"/>
          <w:b/>
          <w:bCs/>
          <w:sz w:val="24"/>
        </w:rPr>
        <w:t>Framework and objectives</w:t>
      </w:r>
    </w:p>
    <w:p w:rsidR="000E3A04" w:rsidRPr="00763BAF" w:rsidRDefault="000E3A04" w:rsidP="00763BAF">
      <w:pPr>
        <w:spacing w:line="276" w:lineRule="auto"/>
        <w:jc w:val="both"/>
        <w:rPr>
          <w:rFonts w:ascii="Times New Roman" w:hAnsi="Times New Roman"/>
          <w:b/>
          <w:bCs/>
          <w:sz w:val="24"/>
        </w:rPr>
      </w:pPr>
      <w:r w:rsidRPr="00763BAF">
        <w:rPr>
          <w:rFonts w:ascii="Times New Roman" w:hAnsi="Times New Roman"/>
          <w:b/>
          <w:bCs/>
          <w:sz w:val="24"/>
        </w:rPr>
        <w:t>2. Brief theoretical and Technical Review on HDI</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The human development index</w:t>
      </w:r>
      <w:r w:rsidR="00763BAF">
        <w:rPr>
          <w:rFonts w:ascii="Times New Roman" w:hAnsi="Times New Roman"/>
          <w:sz w:val="24"/>
        </w:rPr>
        <w:t xml:space="preserve"> (HDI)</w:t>
      </w:r>
      <w:r w:rsidRPr="00763BAF">
        <w:rPr>
          <w:rFonts w:ascii="Times New Roman" w:hAnsi="Times New Roman"/>
          <w:sz w:val="24"/>
        </w:rPr>
        <w:t xml:space="preserve"> is considered very important to measure the development of countries and is considered a fairer measure-to-measure economic welfare. According to Gezikol, Ergüzel and Tunahan (2019) welfare includes basic concepts such as happiness, health, education and income, with the HDI emerging as one of the most important indicators for assessing the welfare and performance of countries and different regions. Calculated and disseminated by the United Nations (UN) since 1990, this indicator includes key dimensions of development that reflect social and economic welfare: a long and healthy life, access to knowledge and a decent standard of living (Javaid, Akbar &amp; Nawaz, 2018). </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According to the United Nations, the HDI was created to emphasize that people and their capabilities should be the final criteria for evaluating a country's development, in contrast to the idea of ​​using only economic growth (GDP). Thus, the UN Human Development Report (2015) states, “human development focuses on the enlarging people’s choices and richness of human lives”.</w:t>
      </w:r>
    </w:p>
    <w:p w:rsidR="000E3A04" w:rsidRPr="00763BAF" w:rsidRDefault="000E3A04" w:rsidP="00763BAF">
      <w:pPr>
        <w:spacing w:line="276" w:lineRule="auto"/>
        <w:jc w:val="both"/>
        <w:rPr>
          <w:rFonts w:ascii="Times New Roman" w:hAnsi="Times New Roman"/>
          <w:b/>
          <w:bCs/>
          <w:sz w:val="24"/>
        </w:rPr>
      </w:pPr>
      <w:r w:rsidRPr="00763BAF">
        <w:rPr>
          <w:rFonts w:ascii="Times New Roman" w:hAnsi="Times New Roman"/>
          <w:b/>
          <w:bCs/>
          <w:sz w:val="24"/>
        </w:rPr>
        <w:t>Measuring and Calculation of human development</w:t>
      </w:r>
      <w:r w:rsidRPr="00763BAF">
        <w:rPr>
          <w:rStyle w:val="Refdenotaderodap"/>
          <w:rFonts w:ascii="Times New Roman" w:hAnsi="Times New Roman"/>
          <w:b/>
          <w:bCs/>
          <w:sz w:val="24"/>
        </w:rPr>
        <w:footnoteReference w:id="1"/>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According to the United Nations Human Development Report (2018</w:t>
      </w:r>
      <w:r w:rsidR="00763BAF">
        <w:rPr>
          <w:rFonts w:ascii="Times New Roman" w:hAnsi="Times New Roman"/>
          <w:sz w:val="24"/>
        </w:rPr>
        <w:t>)</w:t>
      </w:r>
      <w:r w:rsidRPr="00763BAF">
        <w:rPr>
          <w:rFonts w:ascii="Times New Roman" w:hAnsi="Times New Roman"/>
          <w:sz w:val="24"/>
        </w:rPr>
        <w:t>, “</w:t>
      </w:r>
      <w:r w:rsidR="00375DF2">
        <w:rPr>
          <w:rFonts w:ascii="Times New Roman" w:hAnsi="Times New Roman"/>
          <w:sz w:val="24"/>
        </w:rPr>
        <w:t>t</w:t>
      </w:r>
      <w:r w:rsidRPr="00763BAF">
        <w:rPr>
          <w:rFonts w:ascii="Times New Roman" w:hAnsi="Times New Roman"/>
          <w:sz w:val="24"/>
        </w:rPr>
        <w:t xml:space="preserve">he </w:t>
      </w:r>
      <w:r w:rsidR="00375DF2">
        <w:rPr>
          <w:rFonts w:ascii="Times New Roman" w:hAnsi="Times New Roman"/>
          <w:sz w:val="24"/>
        </w:rPr>
        <w:t>HDI</w:t>
      </w:r>
      <w:r w:rsidRPr="00763BAF">
        <w:rPr>
          <w:rFonts w:ascii="Times New Roman" w:hAnsi="Times New Roman"/>
          <w:sz w:val="24"/>
        </w:rPr>
        <w:t xml:space="preserve"> is a composite index focusing on three basic dimensions of human development: the ability to lead a long and healthy life, measured by life expectancy at birth; the ability to acquire knowledge, measured by mean years of schooling and expected years of schooling; and the ability to achieve a decent standard of living, measured by gross national income per capita”.</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Technically, according to the same organization, the HDI is the geometric mean of the normalized indices for each of the three dimensions, where: - the health dimension is evaluated by life expectancy at birth, the education dimension is measured by the average of the years the level of education of adults aged 25 years and over and the years of education expected for school-age children, and the dimension of the standard of living is measured by the gross national income per capita.</w:t>
      </w:r>
    </w:p>
    <w:p w:rsidR="00763BAF" w:rsidRPr="00375DF2" w:rsidRDefault="00763BAF" w:rsidP="00763BAF">
      <w:pPr>
        <w:spacing w:line="276" w:lineRule="auto"/>
        <w:jc w:val="both"/>
        <w:rPr>
          <w:rFonts w:ascii="Times New Roman" w:hAnsi="Times New Roman"/>
          <w:sz w:val="24"/>
        </w:rPr>
      </w:pPr>
      <w:r w:rsidRPr="00375DF2">
        <w:rPr>
          <w:rFonts w:ascii="Times New Roman" w:hAnsi="Times New Roman"/>
          <w:sz w:val="24"/>
        </w:rPr>
        <w:t>Mathematically, the HDI is calculated as follows:</w:t>
      </w:r>
    </w:p>
    <w:p w:rsidR="00763BAF" w:rsidRPr="00763BAF" w:rsidRDefault="00375DF2" w:rsidP="00763BAF">
      <w:pPr>
        <w:spacing w:line="276" w:lineRule="auto"/>
        <w:jc w:val="both"/>
        <w:rPr>
          <w:rFonts w:ascii="Arial" w:hAnsi="Arial" w:cs="Arial"/>
          <w:sz w:val="24"/>
        </w:rPr>
      </w:pPr>
      <w:r>
        <w:rPr>
          <w:rFonts w:ascii="Times New Roman" w:hAnsi="Times New Roman"/>
          <w:b/>
          <w:sz w:val="24"/>
        </w:rPr>
        <w:t xml:space="preserve">                         </w:t>
      </w:r>
      <m:oMath>
        <m:r>
          <m:rPr>
            <m:sty m:val="bi"/>
          </m:rPr>
          <w:rPr>
            <w:rFonts w:ascii="Cambria Math" w:hAnsi="Cambria Math" w:cs="Arial"/>
            <w:sz w:val="24"/>
          </w:rPr>
          <m:t>HDI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health</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education</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income</m:t>
            </m:r>
          </m:sub>
        </m:sSub>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1/3</m:t>
            </m:r>
          </m:sup>
        </m:sSup>
      </m:oMath>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375DF2">
        <w:rPr>
          <w:rFonts w:ascii="Times New Roman" w:hAnsi="Times New Roman"/>
          <w:sz w:val="24"/>
        </w:rPr>
        <w:tab/>
        <w:t>[1]</w:t>
      </w:r>
    </w:p>
    <w:p w:rsidR="000E3A04" w:rsidRDefault="009560CF" w:rsidP="00763BAF">
      <w:pPr>
        <w:spacing w:line="276" w:lineRule="auto"/>
        <w:jc w:val="both"/>
        <w:rPr>
          <w:rFonts w:ascii="Times New Roman" w:hAnsi="Times New Roman"/>
          <w:sz w:val="24"/>
        </w:rPr>
      </w:pPr>
      <w:r w:rsidRPr="009560CF">
        <w:rPr>
          <w:rFonts w:ascii="Times New Roman" w:hAnsi="Times New Roman"/>
          <w:sz w:val="24"/>
        </w:rPr>
        <w:t xml:space="preserve">As equation </w:t>
      </w:r>
      <w:r w:rsidR="00417B3F">
        <w:rPr>
          <w:rFonts w:ascii="Times New Roman" w:hAnsi="Times New Roman"/>
          <w:sz w:val="24"/>
        </w:rPr>
        <w:t>[</w:t>
      </w:r>
      <w:r w:rsidRPr="009560CF">
        <w:rPr>
          <w:rFonts w:ascii="Times New Roman" w:hAnsi="Times New Roman"/>
          <w:sz w:val="24"/>
        </w:rPr>
        <w:t>1</w:t>
      </w:r>
      <w:r w:rsidR="00417B3F">
        <w:rPr>
          <w:rFonts w:ascii="Times New Roman" w:hAnsi="Times New Roman"/>
          <w:sz w:val="24"/>
        </w:rPr>
        <w:t>]</w:t>
      </w:r>
      <w:r w:rsidRPr="009560CF">
        <w:rPr>
          <w:rFonts w:ascii="Times New Roman" w:hAnsi="Times New Roman"/>
          <w:sz w:val="24"/>
        </w:rPr>
        <w:t xml:space="preserve"> demonstrates, to calculate HDI, we first need to calculate the sub-indices of the dimensions.</w:t>
      </w:r>
      <w:r w:rsidR="00417B3F">
        <w:rPr>
          <w:rFonts w:ascii="Times New Roman" w:hAnsi="Times New Roman"/>
          <w:sz w:val="24"/>
        </w:rPr>
        <w:t xml:space="preserve"> These index</w:t>
      </w:r>
      <w:r w:rsidR="009D37AA" w:rsidRPr="009D37AA">
        <w:rPr>
          <w:rFonts w:ascii="Times New Roman" w:hAnsi="Times New Roman"/>
          <w:sz w:val="24"/>
        </w:rPr>
        <w:t>es are calculated according to the pre-established minimum and maxi</w:t>
      </w:r>
      <w:r w:rsidR="00DD248B">
        <w:rPr>
          <w:rFonts w:ascii="Times New Roman" w:hAnsi="Times New Roman"/>
          <w:sz w:val="24"/>
        </w:rPr>
        <w:t>mum values.</w:t>
      </w:r>
      <w:r w:rsidR="003E75EC">
        <w:rPr>
          <w:rFonts w:ascii="Times New Roman" w:hAnsi="Times New Roman"/>
          <w:sz w:val="24"/>
        </w:rPr>
        <w:t xml:space="preserve"> </w:t>
      </w:r>
      <w:r w:rsidR="00DD248B">
        <w:rPr>
          <w:rFonts w:ascii="Times New Roman" w:hAnsi="Times New Roman"/>
          <w:sz w:val="24"/>
        </w:rPr>
        <w:t>T</w:t>
      </w:r>
      <w:r w:rsidR="00DD248B" w:rsidRPr="00DD248B">
        <w:rPr>
          <w:rFonts w:ascii="Times New Roman" w:hAnsi="Times New Roman"/>
          <w:sz w:val="24"/>
        </w:rPr>
        <w:t>hese values</w:t>
      </w:r>
      <w:r w:rsidR="00417B3F">
        <w:rPr>
          <w:rFonts w:ascii="Times New Roman" w:hAnsi="Times New Roman"/>
          <w:sz w:val="24"/>
        </w:rPr>
        <w:t xml:space="preserve">, according to the UN </w:t>
      </w:r>
      <w:r w:rsidR="00417B3F" w:rsidRPr="00DD248B">
        <w:rPr>
          <w:rFonts w:ascii="Times New Roman" w:hAnsi="Times New Roman"/>
          <w:sz w:val="24"/>
        </w:rPr>
        <w:t>are</w:t>
      </w:r>
      <w:r w:rsidR="00DD248B" w:rsidRPr="00DD248B">
        <w:rPr>
          <w:rFonts w:ascii="Times New Roman" w:hAnsi="Times New Roman"/>
          <w:sz w:val="24"/>
        </w:rPr>
        <w:t xml:space="preserve"> defined in order to transform the indicators express</w:t>
      </w:r>
      <w:r w:rsidR="00DD248B">
        <w:rPr>
          <w:rFonts w:ascii="Times New Roman" w:hAnsi="Times New Roman"/>
          <w:sz w:val="24"/>
        </w:rPr>
        <w:t>e</w:t>
      </w:r>
      <w:r w:rsidR="00417B3F">
        <w:rPr>
          <w:rFonts w:ascii="Times New Roman" w:hAnsi="Times New Roman"/>
          <w:sz w:val="24"/>
        </w:rPr>
        <w:t>d in different units into indexe</w:t>
      </w:r>
      <w:r w:rsidR="00DD248B" w:rsidRPr="00DD248B">
        <w:rPr>
          <w:rFonts w:ascii="Times New Roman" w:hAnsi="Times New Roman"/>
          <w:sz w:val="24"/>
        </w:rPr>
        <w:t xml:space="preserve">s between </w:t>
      </w:r>
      <w:r w:rsidR="00417B3F">
        <w:rPr>
          <w:rFonts w:ascii="Times New Roman" w:hAnsi="Times New Roman"/>
          <w:sz w:val="24"/>
        </w:rPr>
        <w:t>0</w:t>
      </w:r>
      <w:r w:rsidR="00DD248B" w:rsidRPr="00DD248B">
        <w:rPr>
          <w:rFonts w:ascii="Times New Roman" w:hAnsi="Times New Roman"/>
          <w:sz w:val="24"/>
        </w:rPr>
        <w:t xml:space="preserve"> and 1, as shown in table 1</w:t>
      </w:r>
      <w:r w:rsidR="00DD248B">
        <w:rPr>
          <w:rFonts w:ascii="Times New Roman" w:hAnsi="Times New Roman"/>
          <w:sz w:val="24"/>
        </w:rPr>
        <w:t>.</w:t>
      </w:r>
    </w:p>
    <w:p w:rsidR="009D37AA" w:rsidRPr="009D37AA" w:rsidRDefault="009D37AA" w:rsidP="00763BAF">
      <w:pPr>
        <w:spacing w:line="276" w:lineRule="auto"/>
        <w:jc w:val="both"/>
        <w:rPr>
          <w:rFonts w:ascii="Times New Roman" w:hAnsi="Times New Roman"/>
          <w:sz w:val="24"/>
          <w:szCs w:val="24"/>
        </w:rPr>
      </w:pPr>
      <w:r>
        <w:rPr>
          <w:rFonts w:ascii="Times New Roman" w:hAnsi="Times New Roman"/>
          <w:sz w:val="24"/>
        </w:rPr>
        <w:lastRenderedPageBreak/>
        <w:t xml:space="preserve">  </w:t>
      </w:r>
      <w:r w:rsidRPr="00190ED1">
        <w:rPr>
          <w:rFonts w:ascii="Times New Roman" w:hAnsi="Times New Roman"/>
          <w:b/>
          <w:sz w:val="24"/>
          <w:szCs w:val="24"/>
        </w:rPr>
        <w:t>Table1</w:t>
      </w:r>
      <w:r w:rsidR="00FB6191">
        <w:rPr>
          <w:rFonts w:ascii="Times New Roman" w:hAnsi="Times New Roman"/>
          <w:sz w:val="24"/>
          <w:szCs w:val="24"/>
        </w:rPr>
        <w:t xml:space="preserve">: </w:t>
      </w:r>
      <w:r w:rsidR="00190ED1">
        <w:rPr>
          <w:rFonts w:ascii="Times New Roman" w:hAnsi="Times New Roman"/>
          <w:sz w:val="24"/>
          <w:szCs w:val="24"/>
        </w:rPr>
        <w:t>Minimum and Maximum Value for each Indicators</w:t>
      </w:r>
    </w:p>
    <w:tbl>
      <w:tblPr>
        <w:tblW w:w="8584" w:type="dxa"/>
        <w:tblLook w:val="04A0" w:firstRow="1" w:lastRow="0" w:firstColumn="1" w:lastColumn="0" w:noHBand="0" w:noVBand="1"/>
      </w:tblPr>
      <w:tblGrid>
        <w:gridCol w:w="1826"/>
        <w:gridCol w:w="3675"/>
        <w:gridCol w:w="1744"/>
        <w:gridCol w:w="1339"/>
      </w:tblGrid>
      <w:tr w:rsidR="009D37AA" w:rsidRPr="009D37AA" w:rsidTr="00190ED1">
        <w:trPr>
          <w:trHeight w:val="267"/>
        </w:trPr>
        <w:tc>
          <w:tcPr>
            <w:tcW w:w="1826"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b/>
                <w:bCs/>
                <w:color w:val="000000"/>
                <w:szCs w:val="24"/>
              </w:rPr>
            </w:pPr>
            <w:r w:rsidRPr="00FB6191">
              <w:rPr>
                <w:rFonts w:ascii="Times New Roman" w:hAnsi="Times New Roman"/>
                <w:b/>
                <w:bCs/>
                <w:color w:val="000000"/>
                <w:szCs w:val="24"/>
              </w:rPr>
              <w:t>Dimension</w:t>
            </w:r>
          </w:p>
        </w:tc>
        <w:tc>
          <w:tcPr>
            <w:tcW w:w="3675"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b/>
                <w:bCs/>
                <w:color w:val="000000"/>
                <w:szCs w:val="24"/>
              </w:rPr>
            </w:pPr>
            <w:r w:rsidRPr="00FB6191">
              <w:rPr>
                <w:rFonts w:ascii="Times New Roman" w:hAnsi="Times New Roman"/>
                <w:b/>
                <w:bCs/>
                <w:color w:val="000000"/>
                <w:szCs w:val="24"/>
              </w:rPr>
              <w:t>Indicator</w:t>
            </w:r>
          </w:p>
        </w:tc>
        <w:tc>
          <w:tcPr>
            <w:tcW w:w="1744"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b/>
                <w:bCs/>
                <w:color w:val="000000"/>
                <w:szCs w:val="24"/>
              </w:rPr>
            </w:pPr>
            <w:r w:rsidRPr="00FB6191">
              <w:rPr>
                <w:rFonts w:ascii="Times New Roman" w:hAnsi="Times New Roman"/>
                <w:b/>
                <w:bCs/>
                <w:color w:val="000000"/>
                <w:szCs w:val="24"/>
              </w:rPr>
              <w:t>Minimum</w:t>
            </w:r>
          </w:p>
        </w:tc>
        <w:tc>
          <w:tcPr>
            <w:tcW w:w="1339"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b/>
                <w:bCs/>
                <w:color w:val="000000"/>
                <w:szCs w:val="24"/>
              </w:rPr>
            </w:pPr>
            <w:r w:rsidRPr="00FB6191">
              <w:rPr>
                <w:rFonts w:ascii="Times New Roman" w:hAnsi="Times New Roman"/>
                <w:b/>
                <w:bCs/>
                <w:color w:val="000000"/>
                <w:szCs w:val="24"/>
              </w:rPr>
              <w:t>Maximum</w:t>
            </w:r>
          </w:p>
        </w:tc>
      </w:tr>
      <w:tr w:rsidR="009D37AA" w:rsidRPr="009D37AA" w:rsidTr="00190ED1">
        <w:trPr>
          <w:trHeight w:val="256"/>
        </w:trPr>
        <w:tc>
          <w:tcPr>
            <w:tcW w:w="1826"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Health</w:t>
            </w:r>
          </w:p>
        </w:tc>
        <w:tc>
          <w:tcPr>
            <w:tcW w:w="3675"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Life expectancy (years)</w:t>
            </w:r>
          </w:p>
        </w:tc>
        <w:tc>
          <w:tcPr>
            <w:tcW w:w="1744"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20</w:t>
            </w:r>
          </w:p>
        </w:tc>
        <w:tc>
          <w:tcPr>
            <w:tcW w:w="1339"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85</w:t>
            </w:r>
          </w:p>
        </w:tc>
      </w:tr>
      <w:tr w:rsidR="009D37AA" w:rsidRPr="009D37AA" w:rsidTr="00190ED1">
        <w:trPr>
          <w:trHeight w:val="256"/>
        </w:trPr>
        <w:tc>
          <w:tcPr>
            <w:tcW w:w="1826" w:type="dxa"/>
            <w:vMerge w:val="restart"/>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Education</w:t>
            </w:r>
          </w:p>
        </w:tc>
        <w:tc>
          <w:tcPr>
            <w:tcW w:w="3675"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Expected years of schooling (years)</w:t>
            </w:r>
          </w:p>
        </w:tc>
        <w:tc>
          <w:tcPr>
            <w:tcW w:w="1744"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0</w:t>
            </w:r>
          </w:p>
        </w:tc>
        <w:tc>
          <w:tcPr>
            <w:tcW w:w="1339"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18</w:t>
            </w:r>
          </w:p>
        </w:tc>
      </w:tr>
      <w:tr w:rsidR="009D37AA" w:rsidRPr="009D37AA" w:rsidTr="00190ED1">
        <w:trPr>
          <w:trHeight w:val="256"/>
        </w:trPr>
        <w:tc>
          <w:tcPr>
            <w:tcW w:w="1826" w:type="dxa"/>
            <w:vMerge/>
            <w:tcBorders>
              <w:top w:val="nil"/>
              <w:left w:val="nil"/>
              <w:bottom w:val="nil"/>
              <w:right w:val="nil"/>
            </w:tcBorders>
            <w:vAlign w:val="center"/>
            <w:hideMark/>
          </w:tcPr>
          <w:p w:rsidR="009D37AA" w:rsidRPr="00FB6191" w:rsidRDefault="009D37AA" w:rsidP="006458AB">
            <w:pPr>
              <w:spacing w:after="0" w:line="240" w:lineRule="auto"/>
              <w:rPr>
                <w:rFonts w:ascii="Times New Roman" w:hAnsi="Times New Roman"/>
                <w:color w:val="000000"/>
                <w:szCs w:val="24"/>
              </w:rPr>
            </w:pPr>
          </w:p>
        </w:tc>
        <w:tc>
          <w:tcPr>
            <w:tcW w:w="3675"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Mean years of schooling (years)</w:t>
            </w:r>
          </w:p>
        </w:tc>
        <w:tc>
          <w:tcPr>
            <w:tcW w:w="1744"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0</w:t>
            </w:r>
          </w:p>
        </w:tc>
        <w:tc>
          <w:tcPr>
            <w:tcW w:w="1339"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15</w:t>
            </w:r>
          </w:p>
        </w:tc>
      </w:tr>
      <w:tr w:rsidR="009D37AA" w:rsidRPr="009D37AA" w:rsidTr="00190ED1">
        <w:trPr>
          <w:trHeight w:val="267"/>
        </w:trPr>
        <w:tc>
          <w:tcPr>
            <w:tcW w:w="1826" w:type="dxa"/>
            <w:tcBorders>
              <w:top w:val="nil"/>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Standard of living</w:t>
            </w:r>
          </w:p>
        </w:tc>
        <w:tc>
          <w:tcPr>
            <w:tcW w:w="3675" w:type="dxa"/>
            <w:tcBorders>
              <w:top w:val="nil"/>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GNI per capita (2017 PPP$)</w:t>
            </w:r>
          </w:p>
        </w:tc>
        <w:tc>
          <w:tcPr>
            <w:tcW w:w="1744" w:type="dxa"/>
            <w:tcBorders>
              <w:top w:val="nil"/>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100</w:t>
            </w:r>
          </w:p>
        </w:tc>
        <w:tc>
          <w:tcPr>
            <w:tcW w:w="1339" w:type="dxa"/>
            <w:tcBorders>
              <w:top w:val="nil"/>
              <w:left w:val="nil"/>
              <w:bottom w:val="single" w:sz="8" w:space="0" w:color="auto"/>
              <w:right w:val="nil"/>
            </w:tcBorders>
            <w:noWrap/>
            <w:vAlign w:val="center"/>
            <w:hideMark/>
          </w:tcPr>
          <w:p w:rsidR="009D37AA" w:rsidRPr="00FB6191" w:rsidRDefault="00190ED1" w:rsidP="006458AB">
            <w:pPr>
              <w:spacing w:after="0" w:line="240" w:lineRule="auto"/>
              <w:jc w:val="center"/>
              <w:rPr>
                <w:rFonts w:ascii="Times New Roman" w:hAnsi="Times New Roman"/>
                <w:color w:val="000000"/>
                <w:szCs w:val="24"/>
              </w:rPr>
            </w:pPr>
            <w:r>
              <w:rPr>
                <w:rFonts w:ascii="Times New Roman" w:hAnsi="Times New Roman"/>
                <w:color w:val="000000"/>
                <w:szCs w:val="24"/>
              </w:rPr>
              <w:t>75.</w:t>
            </w:r>
            <w:r w:rsidR="009D37AA" w:rsidRPr="00FB6191">
              <w:rPr>
                <w:rFonts w:ascii="Times New Roman" w:hAnsi="Times New Roman"/>
                <w:color w:val="000000"/>
                <w:szCs w:val="24"/>
              </w:rPr>
              <w:t>000</w:t>
            </w:r>
          </w:p>
        </w:tc>
      </w:tr>
    </w:tbl>
    <w:p w:rsidR="000E3A04" w:rsidRPr="009D37AA" w:rsidRDefault="009D37AA" w:rsidP="00763BAF">
      <w:pPr>
        <w:spacing w:line="276" w:lineRule="auto"/>
        <w:jc w:val="both"/>
        <w:rPr>
          <w:rFonts w:ascii="Times New Roman" w:hAnsi="Times New Roman"/>
          <w:sz w:val="18"/>
          <w:szCs w:val="18"/>
        </w:rPr>
      </w:pPr>
      <w:r w:rsidRPr="009D37AA">
        <w:rPr>
          <w:rFonts w:ascii="Times New Roman" w:hAnsi="Times New Roman"/>
          <w:sz w:val="18"/>
          <w:szCs w:val="18"/>
        </w:rPr>
        <w:t>Source: 2018 UN Human Development Report</w:t>
      </w:r>
    </w:p>
    <w:p w:rsidR="000E3A04" w:rsidRPr="004D3F1D" w:rsidRDefault="003B367F" w:rsidP="00763BAF">
      <w:pPr>
        <w:spacing w:line="276" w:lineRule="auto"/>
        <w:jc w:val="both"/>
        <w:rPr>
          <w:rFonts w:ascii="Times New Roman" w:hAnsi="Times New Roman"/>
          <w:sz w:val="24"/>
        </w:rPr>
      </w:pPr>
      <w:r w:rsidRPr="003B367F">
        <w:rPr>
          <w:rFonts w:ascii="Times New Roman" w:hAnsi="Times New Roman"/>
          <w:sz w:val="24"/>
        </w:rPr>
        <w:t xml:space="preserve">Taking into account the values in Table 1, the index of each dimension referring to each country is </w:t>
      </w:r>
      <w:r w:rsidRPr="004D3F1D">
        <w:rPr>
          <w:rFonts w:ascii="Times New Roman" w:hAnsi="Times New Roman"/>
          <w:sz w:val="24"/>
        </w:rPr>
        <w:t>calculated as follows:</w:t>
      </w:r>
    </w:p>
    <w:p w:rsidR="003B367F" w:rsidRDefault="00DD248B" w:rsidP="00DD248B">
      <w:pPr>
        <w:spacing w:line="276" w:lineRule="auto"/>
        <w:jc w:val="both"/>
        <w:rPr>
          <w:rFonts w:ascii="Times New Roman" w:hAnsi="Times New Roman"/>
          <w:sz w:val="24"/>
        </w:rPr>
      </w:pPr>
      <w:r w:rsidRPr="002727E5">
        <w:rPr>
          <w:rFonts w:ascii="Times New Roman" w:hAnsi="Times New Roman"/>
          <w:b/>
          <w:i/>
          <w:sz w:val="24"/>
          <w:szCs w:val="24"/>
        </w:rPr>
        <w:t xml:space="preserve">                 </w:t>
      </w:r>
      <m:oMath>
        <m:r>
          <m:rPr>
            <m:sty m:val="bi"/>
          </m:rPr>
          <w:rPr>
            <w:rFonts w:ascii="Cambria Math" w:hAnsi="Cambria Math"/>
            <w:sz w:val="24"/>
            <w:szCs w:val="24"/>
          </w:rPr>
          <m:t xml:space="preserve">  Dimension Index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actual value-minimum value</m:t>
            </m:r>
          </m:num>
          <m:den>
            <m:r>
              <w:rPr>
                <w:rFonts w:ascii="Cambria Math" w:hAnsi="Cambria Math"/>
                <w:sz w:val="24"/>
                <w:szCs w:val="24"/>
              </w:rPr>
              <m:t>maximum value-minimum value</m:t>
            </m:r>
          </m:den>
        </m:f>
      </m:oMath>
      <w:r w:rsidR="003B367F" w:rsidRPr="002727E5">
        <w:rPr>
          <w:rFonts w:ascii="Times New Roman" w:hAnsi="Times New Roman"/>
          <w:i/>
          <w:sz w:val="24"/>
        </w:rPr>
        <w:t xml:space="preserve">  </w:t>
      </w:r>
      <w:r w:rsidR="003B367F" w:rsidRPr="003B367F">
        <w:rPr>
          <w:rFonts w:ascii="Times New Roman" w:hAnsi="Times New Roman"/>
          <w:sz w:val="24"/>
        </w:rPr>
        <w:t xml:space="preserve">  </w:t>
      </w:r>
      <w:r>
        <w:rPr>
          <w:rFonts w:ascii="Times New Roman" w:hAnsi="Times New Roman"/>
          <w:sz w:val="24"/>
        </w:rPr>
        <w:t xml:space="preserve">                       </w:t>
      </w:r>
      <w:r w:rsidR="003B367F" w:rsidRPr="003B367F">
        <w:rPr>
          <w:rFonts w:ascii="Times New Roman" w:hAnsi="Times New Roman"/>
          <w:sz w:val="24"/>
        </w:rPr>
        <w:t>[2]</w:t>
      </w:r>
    </w:p>
    <w:p w:rsidR="00064300" w:rsidRDefault="00064300" w:rsidP="00763BAF">
      <w:pPr>
        <w:spacing w:line="276" w:lineRule="auto"/>
        <w:jc w:val="both"/>
        <w:rPr>
          <w:rFonts w:ascii="Times New Roman" w:hAnsi="Times New Roman"/>
          <w:sz w:val="24"/>
        </w:rPr>
      </w:pPr>
      <w:r w:rsidRPr="00064300">
        <w:rPr>
          <w:rFonts w:ascii="Times New Roman" w:hAnsi="Times New Roman"/>
          <w:sz w:val="24"/>
        </w:rPr>
        <w:t>The definitions of indicators used in the calculation of dimensions indexes consisted of HDI and calculation manner of indexes are being provided below.</w:t>
      </w:r>
    </w:p>
    <w:p w:rsidR="00064300" w:rsidRPr="004D3F1D" w:rsidRDefault="00064300" w:rsidP="004D3F1D">
      <w:pPr>
        <w:spacing w:line="276" w:lineRule="auto"/>
        <w:jc w:val="both"/>
        <w:rPr>
          <w:rFonts w:ascii="Times New Roman" w:hAnsi="Times New Roman"/>
          <w:sz w:val="24"/>
        </w:rPr>
      </w:pPr>
      <w:r w:rsidRPr="004D3F1D">
        <w:rPr>
          <w:rFonts w:ascii="Times New Roman" w:hAnsi="Times New Roman"/>
          <w:b/>
          <w:i/>
          <w:sz w:val="24"/>
        </w:rPr>
        <w:t>Long and Healthy Life (Health):</w:t>
      </w:r>
      <w:r w:rsidRPr="004D3F1D">
        <w:rPr>
          <w:rFonts w:ascii="Times New Roman" w:hAnsi="Times New Roman"/>
          <w:sz w:val="24"/>
        </w:rPr>
        <w:t xml:space="preserve"> Life expectancy at birth (years); the average number of years expected for a </w:t>
      </w:r>
      <w:proofErr w:type="spellStart"/>
      <w:r w:rsidRPr="004D3F1D">
        <w:rPr>
          <w:rFonts w:ascii="Times New Roman" w:hAnsi="Times New Roman"/>
          <w:sz w:val="24"/>
        </w:rPr>
        <w:t>newborn</w:t>
      </w:r>
      <w:proofErr w:type="spellEnd"/>
      <w:r w:rsidRPr="004D3F1D">
        <w:rPr>
          <w:rFonts w:ascii="Times New Roman" w:hAnsi="Times New Roman"/>
          <w:sz w:val="24"/>
        </w:rPr>
        <w:t xml:space="preserve"> individual to live in case of being subjected to mortality speed peculiar to age in a specific period along his life.</w:t>
      </w:r>
    </w:p>
    <w:p w:rsidR="002727E5" w:rsidRPr="002727E5" w:rsidRDefault="002727E5" w:rsidP="002727E5">
      <w:pPr>
        <w:pStyle w:val="PargrafodaLista"/>
        <w:spacing w:line="276" w:lineRule="auto"/>
        <w:jc w:val="both"/>
        <w:rPr>
          <w:rFonts w:ascii="Times New Roman" w:hAnsi="Times New Roman"/>
          <w:sz w:val="24"/>
        </w:rPr>
      </w:pPr>
      <w:r w:rsidRPr="002727E5">
        <w:rPr>
          <w:rFonts w:ascii="Times New Roman" w:hAnsi="Times New Roman"/>
          <w:b/>
          <w:i/>
          <w:sz w:val="24"/>
          <w:szCs w:val="24"/>
        </w:rPr>
        <w:t xml:space="preserve">    </w:t>
      </w:r>
      <m:oMath>
        <m:r>
          <m:rPr>
            <m:sty m:val="bi"/>
          </m:rPr>
          <w:rPr>
            <w:rFonts w:ascii="Cambria Math" w:hAnsi="Cambria Math"/>
            <w:sz w:val="24"/>
            <w:szCs w:val="24"/>
          </w:rPr>
          <m:t xml:space="preserve"> </m:t>
        </m:r>
        <m:r>
          <w:rPr>
            <w:rFonts w:ascii="Cambria Math" w:hAnsi="Cambria Math"/>
            <w:sz w:val="20"/>
            <w:szCs w:val="20"/>
          </w:rPr>
          <m:t>Life Expectancy Index(</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m:t>
            </m:r>
            <m:r>
              <w:rPr>
                <w:rFonts w:ascii="Cambria Math" w:hAnsi="Cambria Math"/>
                <w:sz w:val="20"/>
                <w:szCs w:val="20"/>
              </w:rPr>
              <m:t>ealth</m:t>
            </m:r>
          </m:sub>
        </m:sSub>
        <m:r>
          <w:rPr>
            <w:rFonts w:ascii="Cambria Math" w:hAnsi="Cambria Math"/>
            <w:sz w:val="20"/>
            <w:szCs w:val="20"/>
          </w:rPr>
          <m:t>)=</m:t>
        </m:r>
        <m:f>
          <m:fPr>
            <m:ctrlPr>
              <w:rPr>
                <w:rFonts w:ascii="Cambria Math" w:hAnsi="Cambria Math"/>
                <w:i/>
                <w:sz w:val="24"/>
                <w:szCs w:val="24"/>
              </w:rPr>
            </m:ctrlPr>
          </m:fPr>
          <m:num>
            <m:r>
              <w:rPr>
                <w:rFonts w:ascii="Cambria Math" w:hAnsi="Cambria Math"/>
                <w:sz w:val="24"/>
                <w:szCs w:val="24"/>
              </w:rPr>
              <m:t>actual value-</m:t>
            </m:r>
            <m:r>
              <w:rPr>
                <w:rFonts w:ascii="Cambria Math" w:hAnsi="Cambria Math"/>
                <w:sz w:val="24"/>
                <w:szCs w:val="24"/>
              </w:rPr>
              <m:t>20</m:t>
            </m:r>
          </m:num>
          <m:den>
            <m:r>
              <w:rPr>
                <w:rFonts w:ascii="Cambria Math" w:hAnsi="Cambria Math"/>
                <w:sz w:val="24"/>
                <w:szCs w:val="24"/>
              </w:rPr>
              <m:t>85</m:t>
            </m:r>
            <m:r>
              <w:rPr>
                <w:rFonts w:ascii="Cambria Math" w:hAnsi="Cambria Math"/>
                <w:sz w:val="24"/>
                <w:szCs w:val="24"/>
              </w:rPr>
              <m:t>-</m:t>
            </m:r>
            <m:r>
              <w:rPr>
                <w:rFonts w:ascii="Cambria Math" w:hAnsi="Cambria Math"/>
                <w:sz w:val="24"/>
                <w:szCs w:val="24"/>
              </w:rPr>
              <m:t>20</m:t>
            </m:r>
          </m:den>
        </m:f>
      </m:oMath>
      <w:r w:rsidRPr="002727E5">
        <w:rPr>
          <w:rFonts w:ascii="Times New Roman" w:hAnsi="Times New Roman"/>
          <w:sz w:val="24"/>
        </w:rPr>
        <w:t xml:space="preserve">                        </w:t>
      </w:r>
      <w:r>
        <w:rPr>
          <w:rFonts w:ascii="Times New Roman" w:hAnsi="Times New Roman"/>
          <w:sz w:val="24"/>
        </w:rPr>
        <w:t xml:space="preserve">                </w:t>
      </w:r>
      <w:r w:rsidRPr="002727E5">
        <w:rPr>
          <w:rFonts w:ascii="Times New Roman" w:hAnsi="Times New Roman"/>
          <w:sz w:val="24"/>
        </w:rPr>
        <w:t xml:space="preserve">   </w:t>
      </w:r>
      <w:r>
        <w:rPr>
          <w:rFonts w:ascii="Times New Roman" w:hAnsi="Times New Roman"/>
          <w:sz w:val="24"/>
        </w:rPr>
        <w:t>[3</w:t>
      </w:r>
      <w:r w:rsidRPr="002727E5">
        <w:rPr>
          <w:rFonts w:ascii="Times New Roman" w:hAnsi="Times New Roman"/>
          <w:sz w:val="24"/>
        </w:rPr>
        <w:t>]</w:t>
      </w:r>
    </w:p>
    <w:p w:rsidR="00064300" w:rsidRPr="004D3F1D" w:rsidRDefault="00064300" w:rsidP="004D3F1D">
      <w:pPr>
        <w:spacing w:line="276" w:lineRule="auto"/>
        <w:jc w:val="both"/>
        <w:rPr>
          <w:rFonts w:ascii="Times New Roman" w:hAnsi="Times New Roman"/>
          <w:sz w:val="24"/>
        </w:rPr>
      </w:pPr>
      <w:r w:rsidRPr="004D3F1D">
        <w:rPr>
          <w:rFonts w:ascii="Times New Roman" w:hAnsi="Times New Roman"/>
          <w:b/>
          <w:i/>
          <w:sz w:val="24"/>
        </w:rPr>
        <w:t>Knowledge (Education):</w:t>
      </w:r>
      <w:r w:rsidRPr="004D3F1D">
        <w:rPr>
          <w:rFonts w:ascii="Times New Roman" w:hAnsi="Times New Roman"/>
          <w:sz w:val="24"/>
        </w:rPr>
        <w:t xml:space="preserve"> </w:t>
      </w:r>
      <w:r w:rsidR="00C2226D" w:rsidRPr="00C2226D">
        <w:rPr>
          <w:rFonts w:ascii="Times New Roman" w:hAnsi="Times New Roman"/>
          <w:sz w:val="24"/>
        </w:rPr>
        <w:t>For the education dimension, eq</w:t>
      </w:r>
      <w:r w:rsidR="001476E4">
        <w:rPr>
          <w:rFonts w:ascii="Times New Roman" w:hAnsi="Times New Roman"/>
          <w:sz w:val="24"/>
        </w:rPr>
        <w:t>.[2]</w:t>
      </w:r>
      <w:r w:rsidR="00C2226D" w:rsidRPr="00C2226D">
        <w:rPr>
          <w:rFonts w:ascii="Times New Roman" w:hAnsi="Times New Roman"/>
          <w:sz w:val="24"/>
        </w:rPr>
        <w:t xml:space="preserve"> is first applied to each of the two indicators, and then the arithmetic mean od two resulting indices is taken</w:t>
      </w:r>
      <w:r w:rsidR="001476E4">
        <w:rPr>
          <w:rFonts w:ascii="Times New Roman" w:hAnsi="Times New Roman"/>
          <w:sz w:val="24"/>
        </w:rPr>
        <w:t>, as indicates in eq.[4], [5] and [6].</w:t>
      </w:r>
    </w:p>
    <w:p w:rsidR="002727E5" w:rsidRPr="002727E5" w:rsidRDefault="002727E5" w:rsidP="002727E5">
      <w:pPr>
        <w:pStyle w:val="PargrafodaLista"/>
        <w:spacing w:line="276" w:lineRule="auto"/>
        <w:jc w:val="both"/>
        <w:rPr>
          <w:rFonts w:ascii="Times New Roman" w:hAnsi="Times New Roman"/>
          <w:sz w:val="24"/>
        </w:rPr>
      </w:pPr>
      <w:r w:rsidRPr="002727E5">
        <w:rPr>
          <w:rFonts w:ascii="Times New Roman" w:hAnsi="Times New Roman"/>
          <w:b/>
          <w:i/>
          <w:sz w:val="24"/>
          <w:szCs w:val="24"/>
        </w:rPr>
        <w:t xml:space="preserve">    </w:t>
      </w:r>
      <m:oMath>
        <m:r>
          <m:rPr>
            <m:sty m:val="bi"/>
          </m:rPr>
          <w:rPr>
            <w:rFonts w:ascii="Cambria Math" w:hAnsi="Cambria Math"/>
            <w:sz w:val="24"/>
            <w:szCs w:val="24"/>
          </w:rPr>
          <m:t xml:space="preserve"> </m:t>
        </m:r>
        <m:r>
          <w:rPr>
            <w:rFonts w:ascii="Cambria Math" w:hAnsi="Cambria Math"/>
            <w:sz w:val="20"/>
            <w:szCs w:val="20"/>
          </w:rPr>
          <m:t>Expected Years of Schooling Index (</m:t>
        </m:r>
        <m:r>
          <w:rPr>
            <w:rFonts w:ascii="Cambria Math" w:hAnsi="Cambria Math"/>
            <w:sz w:val="20"/>
            <w:szCs w:val="20"/>
          </w:rPr>
          <m:t>E</m:t>
        </m:r>
        <m:r>
          <w:rPr>
            <w:rFonts w:ascii="Cambria Math" w:hAnsi="Cambria Math"/>
            <w:sz w:val="20"/>
            <w:szCs w:val="20"/>
          </w:rPr>
          <m:t>YSI)</m:t>
        </m:r>
        <m:r>
          <w:rPr>
            <w:rFonts w:ascii="Cambria Math" w:hAnsi="Cambria Math"/>
            <w:sz w:val="20"/>
            <w:szCs w:val="20"/>
          </w:rPr>
          <m:t>=</m:t>
        </m:r>
        <m:f>
          <m:fPr>
            <m:ctrlPr>
              <w:rPr>
                <w:rFonts w:ascii="Cambria Math" w:hAnsi="Cambria Math"/>
                <w:i/>
                <w:sz w:val="24"/>
                <w:szCs w:val="24"/>
              </w:rPr>
            </m:ctrlPr>
          </m:fPr>
          <m:num>
            <m:r>
              <w:rPr>
                <w:rFonts w:ascii="Cambria Math" w:hAnsi="Cambria Math"/>
                <w:sz w:val="24"/>
                <w:szCs w:val="24"/>
              </w:rPr>
              <m:t>actual value-</m:t>
            </m:r>
            <m:r>
              <w:rPr>
                <w:rFonts w:ascii="Cambria Math" w:hAnsi="Cambria Math"/>
                <w:sz w:val="24"/>
                <w:szCs w:val="24"/>
              </w:rPr>
              <m:t>0</m:t>
            </m:r>
          </m:num>
          <m:den>
            <m:r>
              <w:rPr>
                <w:rFonts w:ascii="Cambria Math" w:hAnsi="Cambria Math"/>
                <w:sz w:val="24"/>
                <w:szCs w:val="24"/>
              </w:rPr>
              <m:t>18</m:t>
            </m:r>
            <m:r>
              <w:rPr>
                <w:rFonts w:ascii="Cambria Math" w:hAnsi="Cambria Math"/>
                <w:sz w:val="24"/>
                <w:szCs w:val="24"/>
              </w:rPr>
              <m:t>-</m:t>
            </m:r>
            <m:r>
              <w:rPr>
                <w:rFonts w:ascii="Cambria Math" w:hAnsi="Cambria Math"/>
                <w:sz w:val="24"/>
                <w:szCs w:val="24"/>
              </w:rPr>
              <m:t>0</m:t>
            </m:r>
          </m:den>
        </m:f>
      </m:oMath>
      <w:r w:rsidRPr="002727E5">
        <w:rPr>
          <w:rFonts w:ascii="Times New Roman" w:hAnsi="Times New Roman"/>
          <w:sz w:val="24"/>
        </w:rPr>
        <w:t xml:space="preserve">                        </w:t>
      </w:r>
      <w:r>
        <w:rPr>
          <w:rFonts w:ascii="Times New Roman" w:hAnsi="Times New Roman"/>
          <w:sz w:val="24"/>
        </w:rPr>
        <w:t xml:space="preserve">  </w:t>
      </w:r>
      <w:r w:rsidR="004D3F1D">
        <w:rPr>
          <w:rFonts w:ascii="Times New Roman" w:hAnsi="Times New Roman"/>
          <w:sz w:val="24"/>
        </w:rPr>
        <w:t xml:space="preserve"> </w:t>
      </w:r>
      <w:r>
        <w:rPr>
          <w:rFonts w:ascii="Times New Roman" w:hAnsi="Times New Roman"/>
          <w:sz w:val="24"/>
        </w:rPr>
        <w:t>[4</w:t>
      </w:r>
      <w:r w:rsidRPr="002727E5">
        <w:rPr>
          <w:rFonts w:ascii="Times New Roman" w:hAnsi="Times New Roman"/>
          <w:sz w:val="24"/>
        </w:rPr>
        <w:t>]</w:t>
      </w:r>
    </w:p>
    <w:p w:rsidR="002727E5" w:rsidRPr="002727E5" w:rsidRDefault="002727E5" w:rsidP="002727E5">
      <w:pPr>
        <w:pStyle w:val="PargrafodaLista"/>
        <w:spacing w:line="276" w:lineRule="auto"/>
        <w:jc w:val="both"/>
        <w:rPr>
          <w:rFonts w:ascii="Times New Roman" w:hAnsi="Times New Roman"/>
          <w:sz w:val="24"/>
        </w:rPr>
      </w:pPr>
      <w:r w:rsidRPr="002727E5">
        <w:rPr>
          <w:rFonts w:ascii="Times New Roman" w:hAnsi="Times New Roman"/>
          <w:b/>
          <w:i/>
          <w:sz w:val="24"/>
          <w:szCs w:val="24"/>
        </w:rPr>
        <w:t xml:space="preserve">    </w:t>
      </w:r>
      <m:oMath>
        <m:r>
          <m:rPr>
            <m:sty m:val="bi"/>
          </m:rPr>
          <w:rPr>
            <w:rFonts w:ascii="Cambria Math" w:hAnsi="Cambria Math"/>
            <w:sz w:val="24"/>
            <w:szCs w:val="24"/>
          </w:rPr>
          <m:t xml:space="preserve"> </m:t>
        </m:r>
        <m:r>
          <w:rPr>
            <w:rFonts w:ascii="Cambria Math" w:hAnsi="Cambria Math"/>
            <w:sz w:val="20"/>
            <w:szCs w:val="20"/>
          </w:rPr>
          <m:t>Mean  Years of Schooling Index (MYSI)</m:t>
        </m:r>
        <m:r>
          <w:rPr>
            <w:rFonts w:ascii="Cambria Math" w:hAnsi="Cambria Math"/>
            <w:sz w:val="20"/>
            <w:szCs w:val="20"/>
          </w:rPr>
          <m:t>=</m:t>
        </m:r>
        <m:f>
          <m:fPr>
            <m:ctrlPr>
              <w:rPr>
                <w:rFonts w:ascii="Cambria Math" w:hAnsi="Cambria Math"/>
                <w:i/>
                <w:sz w:val="24"/>
                <w:szCs w:val="24"/>
              </w:rPr>
            </m:ctrlPr>
          </m:fPr>
          <m:num>
            <m:r>
              <w:rPr>
                <w:rFonts w:ascii="Cambria Math" w:hAnsi="Cambria Math"/>
                <w:sz w:val="24"/>
                <w:szCs w:val="24"/>
              </w:rPr>
              <m:t>actual value-</m:t>
            </m:r>
            <m:r>
              <w:rPr>
                <w:rFonts w:ascii="Cambria Math" w:hAnsi="Cambria Math"/>
                <w:sz w:val="24"/>
                <w:szCs w:val="24"/>
              </w:rPr>
              <m:t>0</m:t>
            </m:r>
          </m:num>
          <m:den>
            <m:r>
              <w:rPr>
                <w:rFonts w:ascii="Cambria Math" w:hAnsi="Cambria Math"/>
                <w:sz w:val="24"/>
                <w:szCs w:val="24"/>
              </w:rPr>
              <m:t>1</m:t>
            </m:r>
            <m:r>
              <w:rPr>
                <w:rFonts w:ascii="Cambria Math" w:hAnsi="Cambria Math"/>
                <w:sz w:val="24"/>
                <w:szCs w:val="24"/>
              </w:rPr>
              <m:t>5</m:t>
            </m:r>
            <m:r>
              <w:rPr>
                <w:rFonts w:ascii="Cambria Math" w:hAnsi="Cambria Math"/>
                <w:sz w:val="24"/>
                <w:szCs w:val="24"/>
              </w:rPr>
              <m:t>-</m:t>
            </m:r>
            <m:r>
              <w:rPr>
                <w:rFonts w:ascii="Cambria Math" w:hAnsi="Cambria Math"/>
                <w:sz w:val="24"/>
                <w:szCs w:val="24"/>
              </w:rPr>
              <m:t>0</m:t>
            </m:r>
          </m:den>
        </m:f>
      </m:oMath>
      <w:r w:rsidRPr="002727E5">
        <w:rPr>
          <w:rFonts w:ascii="Times New Roman" w:hAnsi="Times New Roman"/>
          <w:sz w:val="24"/>
        </w:rPr>
        <w:t xml:space="preserve">                        </w:t>
      </w:r>
      <w:r>
        <w:rPr>
          <w:rFonts w:ascii="Times New Roman" w:hAnsi="Times New Roman"/>
          <w:sz w:val="24"/>
        </w:rPr>
        <w:t xml:space="preserve">       [5</w:t>
      </w:r>
      <w:r w:rsidRPr="002727E5">
        <w:rPr>
          <w:rFonts w:ascii="Times New Roman" w:hAnsi="Times New Roman"/>
          <w:sz w:val="24"/>
        </w:rPr>
        <w:t>]</w:t>
      </w:r>
    </w:p>
    <w:p w:rsidR="002727E5" w:rsidRPr="002727E5" w:rsidRDefault="002727E5" w:rsidP="002727E5">
      <w:pPr>
        <w:pStyle w:val="PargrafodaLista"/>
        <w:spacing w:line="276" w:lineRule="auto"/>
        <w:jc w:val="both"/>
        <w:rPr>
          <w:rFonts w:ascii="Times New Roman" w:hAnsi="Times New Roman"/>
          <w:sz w:val="24"/>
        </w:rPr>
      </w:pPr>
      <w:r w:rsidRPr="002727E5">
        <w:rPr>
          <w:rFonts w:ascii="Times New Roman" w:hAnsi="Times New Roman"/>
          <w:b/>
          <w:i/>
          <w:sz w:val="24"/>
          <w:szCs w:val="24"/>
        </w:rPr>
        <w:t xml:space="preserve">    </w:t>
      </w:r>
      <m:oMath>
        <m:r>
          <m:rPr>
            <m:sty m:val="bi"/>
          </m:rPr>
          <w:rPr>
            <w:rFonts w:ascii="Cambria Math" w:hAnsi="Cambria Math"/>
            <w:sz w:val="24"/>
            <w:szCs w:val="24"/>
          </w:rPr>
          <m:t xml:space="preserve"> </m:t>
        </m:r>
        <m:r>
          <w:rPr>
            <w:rFonts w:ascii="Cambria Math" w:hAnsi="Cambria Math"/>
            <w:sz w:val="20"/>
            <w:szCs w:val="20"/>
          </w:rPr>
          <m:t xml:space="preserve">Edution </m:t>
        </m:r>
        <m:r>
          <w:rPr>
            <w:rFonts w:ascii="Cambria Math" w:hAnsi="Cambria Math"/>
            <w:sz w:val="20"/>
            <w:szCs w:val="20"/>
          </w:rPr>
          <m:t xml:space="preserve"> Index </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Education</m:t>
            </m:r>
            <m:r>
              <w:rPr>
                <w:rFonts w:ascii="Cambria Math" w:hAnsi="Cambria Math"/>
                <w:sz w:val="20"/>
                <w:szCs w:val="20"/>
              </w:rPr>
              <m:t>h</m:t>
            </m:r>
          </m:sub>
        </m:sSub>
        <m:r>
          <w:rPr>
            <w:rFonts w:ascii="Cambria Math" w:hAnsi="Cambria Math"/>
            <w:sz w:val="20"/>
            <w:szCs w:val="20"/>
          </w:rPr>
          <m:t>)</m:t>
        </m:r>
        <m:r>
          <w:rPr>
            <w:rFonts w:ascii="Cambria Math" w:hAnsi="Cambria Math"/>
            <w:sz w:val="20"/>
            <w:szCs w:val="20"/>
          </w:rPr>
          <m:t>=</m:t>
        </m:r>
        <m:f>
          <m:fPr>
            <m:ctrlPr>
              <w:rPr>
                <w:rFonts w:ascii="Cambria Math" w:hAnsi="Cambria Math"/>
                <w:i/>
                <w:sz w:val="24"/>
                <w:szCs w:val="24"/>
              </w:rPr>
            </m:ctrlPr>
          </m:fPr>
          <m:num>
            <m:r>
              <w:rPr>
                <w:rFonts w:ascii="Cambria Math" w:hAnsi="Cambria Math"/>
                <w:sz w:val="24"/>
                <w:szCs w:val="24"/>
              </w:rPr>
              <m:t>EYSI+MYSI</m:t>
            </m:r>
          </m:num>
          <m:den>
            <m:r>
              <w:rPr>
                <w:rFonts w:ascii="Cambria Math" w:hAnsi="Cambria Math"/>
                <w:sz w:val="24"/>
                <w:szCs w:val="24"/>
              </w:rPr>
              <m:t>2</m:t>
            </m:r>
          </m:den>
        </m:f>
      </m:oMath>
      <w:r w:rsidRPr="002727E5">
        <w:rPr>
          <w:rFonts w:ascii="Times New Roman" w:hAnsi="Times New Roman"/>
          <w:sz w:val="24"/>
        </w:rPr>
        <w:t xml:space="preserve">                        </w:t>
      </w:r>
      <w:r>
        <w:rPr>
          <w:rFonts w:ascii="Times New Roman" w:hAnsi="Times New Roman"/>
          <w:sz w:val="24"/>
        </w:rPr>
        <w:t xml:space="preserve">     </w:t>
      </w:r>
      <w:r w:rsidR="004D3F1D">
        <w:rPr>
          <w:rFonts w:ascii="Times New Roman" w:hAnsi="Times New Roman"/>
          <w:sz w:val="24"/>
        </w:rPr>
        <w:t xml:space="preserve">                     </w:t>
      </w:r>
      <w:r>
        <w:rPr>
          <w:rFonts w:ascii="Times New Roman" w:hAnsi="Times New Roman"/>
          <w:sz w:val="24"/>
        </w:rPr>
        <w:t xml:space="preserve"> </w:t>
      </w:r>
      <w:r w:rsidR="004D3F1D">
        <w:rPr>
          <w:rFonts w:ascii="Times New Roman" w:hAnsi="Times New Roman"/>
          <w:sz w:val="24"/>
        </w:rPr>
        <w:t xml:space="preserve">      [6</w:t>
      </w:r>
      <w:r w:rsidRPr="002727E5">
        <w:rPr>
          <w:rFonts w:ascii="Times New Roman" w:hAnsi="Times New Roman"/>
          <w:sz w:val="24"/>
        </w:rPr>
        <w:t>]</w:t>
      </w:r>
    </w:p>
    <w:p w:rsidR="002727E5" w:rsidRPr="004D3F1D" w:rsidRDefault="004D3F1D" w:rsidP="004D3F1D">
      <w:pPr>
        <w:spacing w:line="276" w:lineRule="auto"/>
        <w:jc w:val="both"/>
        <w:rPr>
          <w:rFonts w:ascii="Times New Roman" w:hAnsi="Times New Roman"/>
          <w:sz w:val="24"/>
        </w:rPr>
      </w:pPr>
      <w:r w:rsidRPr="004D3F1D">
        <w:rPr>
          <w:rFonts w:ascii="Times New Roman" w:hAnsi="Times New Roman"/>
          <w:b/>
          <w:i/>
          <w:sz w:val="24"/>
        </w:rPr>
        <w:t>A Decent Standard Of Living (Income</w:t>
      </w:r>
      <w:r w:rsidR="00190ED1">
        <w:rPr>
          <w:rFonts w:ascii="Times New Roman" w:hAnsi="Times New Roman"/>
          <w:b/>
          <w:i/>
          <w:sz w:val="24"/>
        </w:rPr>
        <w:t>):</w:t>
      </w:r>
      <w:r w:rsidRPr="004D3F1D">
        <w:rPr>
          <w:rFonts w:ascii="Times New Roman" w:hAnsi="Times New Roman"/>
          <w:sz w:val="24"/>
        </w:rPr>
        <w:t xml:space="preserve"> calculated as GNI per capita adapted to Purchasing Power Parity along with the report issued in 2010. Income index i</w:t>
      </w:r>
      <w:r w:rsidR="00190ED1">
        <w:rPr>
          <w:rFonts w:ascii="Times New Roman" w:hAnsi="Times New Roman"/>
          <w:sz w:val="24"/>
        </w:rPr>
        <w:t xml:space="preserve">s being calculated through the </w:t>
      </w:r>
      <w:proofErr w:type="gramStart"/>
      <w:r w:rsidR="00190ED1">
        <w:rPr>
          <w:rFonts w:ascii="Times New Roman" w:hAnsi="Times New Roman"/>
          <w:sz w:val="24"/>
        </w:rPr>
        <w:t>7</w:t>
      </w:r>
      <w:proofErr w:type="gramEnd"/>
      <w:r w:rsidRPr="004D3F1D">
        <w:rPr>
          <w:rFonts w:ascii="Times New Roman" w:hAnsi="Times New Roman"/>
          <w:sz w:val="24"/>
        </w:rPr>
        <w:t xml:space="preserve"> numbered equation below.</w:t>
      </w:r>
    </w:p>
    <w:p w:rsidR="00190ED1" w:rsidRPr="002727E5" w:rsidRDefault="00190ED1" w:rsidP="00190ED1">
      <w:pPr>
        <w:pStyle w:val="PargrafodaLista"/>
        <w:spacing w:line="276" w:lineRule="auto"/>
        <w:jc w:val="both"/>
        <w:rPr>
          <w:rFonts w:ascii="Times New Roman" w:hAnsi="Times New Roman"/>
          <w:sz w:val="24"/>
        </w:rPr>
      </w:pPr>
      <w:r w:rsidRPr="00190ED1">
        <w:rPr>
          <w:rFonts w:ascii="Times New Roman" w:hAnsi="Times New Roman"/>
          <w:b/>
          <w:i/>
          <w:sz w:val="24"/>
          <w:szCs w:val="24"/>
        </w:rPr>
        <w:t xml:space="preserve">    </w:t>
      </w:r>
      <m:oMath>
        <m:r>
          <m:rPr>
            <m:sty m:val="bi"/>
          </m:rPr>
          <w:rPr>
            <w:rFonts w:ascii="Cambria Math" w:hAnsi="Cambria Math"/>
            <w:sz w:val="24"/>
            <w:szCs w:val="24"/>
          </w:rPr>
          <m:t xml:space="preserve"> </m:t>
        </m:r>
        <m:r>
          <w:rPr>
            <w:rFonts w:ascii="Cambria Math" w:hAnsi="Cambria Math"/>
            <w:sz w:val="20"/>
            <w:szCs w:val="20"/>
          </w:rPr>
          <m:t>Income Index(</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Income</m:t>
            </m:r>
          </m:sub>
        </m:sSub>
        <m:r>
          <w:rPr>
            <w:rFonts w:ascii="Cambria Math" w:hAnsi="Cambria Math"/>
            <w:sz w:val="20"/>
            <w:szCs w:val="20"/>
          </w:rPr>
          <m:t>)=</m:t>
        </m:r>
        <m:f>
          <m:fPr>
            <m:ctrlPr>
              <w:rPr>
                <w:rFonts w:ascii="Cambria Math" w:hAnsi="Cambria Math"/>
                <w:i/>
                <w:sz w:val="24"/>
                <w:szCs w:val="24"/>
              </w:rPr>
            </m:ctrlPr>
          </m:fPr>
          <m:num>
            <m:r>
              <w:rPr>
                <w:rFonts w:ascii="Cambria Math" w:hAnsi="Cambria Math"/>
                <w:sz w:val="24"/>
                <w:szCs w:val="24"/>
              </w:rPr>
              <m:t>ln⁡(actual value)-LN(100)</m:t>
            </m:r>
          </m:num>
          <m:den>
            <m:r>
              <w:rPr>
                <w:rFonts w:ascii="Cambria Math" w:hAnsi="Cambria Math"/>
                <w:sz w:val="24"/>
                <w:szCs w:val="24"/>
              </w:rPr>
              <m:t>LLN</m:t>
            </m:r>
            <m:d>
              <m:dPr>
                <m:ctrlPr>
                  <w:rPr>
                    <w:rFonts w:ascii="Cambria Math" w:hAnsi="Cambria Math"/>
                    <w:i/>
                    <w:sz w:val="24"/>
                    <w:szCs w:val="24"/>
                  </w:rPr>
                </m:ctrlPr>
              </m:dPr>
              <m:e>
                <m:r>
                  <w:rPr>
                    <w:rFonts w:ascii="Cambria Math" w:hAnsi="Cambria Math"/>
                    <w:sz w:val="24"/>
                    <w:szCs w:val="24"/>
                  </w:rPr>
                  <m:t>75.000</m:t>
                </m:r>
              </m:e>
            </m:d>
            <m:r>
              <w:rPr>
                <w:rFonts w:ascii="Cambria Math" w:hAnsi="Cambria Math"/>
                <w:sz w:val="24"/>
                <w:szCs w:val="24"/>
              </w:rPr>
              <m:t>-ln⁡(100)</m:t>
            </m:r>
          </m:den>
        </m:f>
      </m:oMath>
      <w:r w:rsidRPr="002727E5">
        <w:rPr>
          <w:rFonts w:ascii="Times New Roman" w:hAnsi="Times New Roman"/>
          <w:sz w:val="24"/>
        </w:rPr>
        <w:t xml:space="preserve">                        </w:t>
      </w:r>
      <w:r>
        <w:rPr>
          <w:rFonts w:ascii="Times New Roman" w:hAnsi="Times New Roman"/>
          <w:sz w:val="24"/>
        </w:rPr>
        <w:t xml:space="preserve">                </w:t>
      </w:r>
      <w:r w:rsidRPr="002727E5">
        <w:rPr>
          <w:rFonts w:ascii="Times New Roman" w:hAnsi="Times New Roman"/>
          <w:sz w:val="24"/>
        </w:rPr>
        <w:t xml:space="preserve">   </w:t>
      </w:r>
      <w:r>
        <w:rPr>
          <w:rFonts w:ascii="Times New Roman" w:hAnsi="Times New Roman"/>
          <w:sz w:val="24"/>
        </w:rPr>
        <w:t>[7</w:t>
      </w:r>
      <w:r w:rsidRPr="002727E5">
        <w:rPr>
          <w:rFonts w:ascii="Times New Roman" w:hAnsi="Times New Roman"/>
          <w:sz w:val="24"/>
        </w:rPr>
        <w:t>]</w:t>
      </w:r>
    </w:p>
    <w:p w:rsidR="00203266" w:rsidRDefault="00106287" w:rsidP="00763BAF">
      <w:pPr>
        <w:spacing w:line="276" w:lineRule="auto"/>
        <w:jc w:val="both"/>
        <w:rPr>
          <w:rFonts w:ascii="Times New Roman" w:hAnsi="Times New Roman"/>
          <w:sz w:val="24"/>
        </w:rPr>
      </w:pPr>
      <w:r w:rsidRPr="00106287">
        <w:rPr>
          <w:rFonts w:ascii="Times New Roman" w:hAnsi="Times New Roman"/>
          <w:sz w:val="24"/>
        </w:rPr>
        <w:t xml:space="preserve">Using the eq. [1], the HDI </w:t>
      </w:r>
      <w:proofErr w:type="gramStart"/>
      <w:r w:rsidRPr="00106287">
        <w:rPr>
          <w:rFonts w:ascii="Times New Roman" w:hAnsi="Times New Roman"/>
          <w:sz w:val="24"/>
        </w:rPr>
        <w:t>is obtained</w:t>
      </w:r>
      <w:proofErr w:type="gramEnd"/>
      <w:r w:rsidRPr="00106287">
        <w:rPr>
          <w:rFonts w:ascii="Times New Roman" w:hAnsi="Times New Roman"/>
          <w:sz w:val="24"/>
        </w:rPr>
        <w:t xml:space="preserve"> for a certain </w:t>
      </w:r>
      <w:r w:rsidR="002145AB" w:rsidRPr="002145AB">
        <w:rPr>
          <w:rFonts w:ascii="Times New Roman" w:hAnsi="Times New Roman"/>
          <w:sz w:val="24"/>
        </w:rPr>
        <w:t>period and the countries are grouped according to Table 2 (UN Reporte, 2018)</w:t>
      </w:r>
      <w:r w:rsidR="00A137AF">
        <w:rPr>
          <w:rFonts w:ascii="Times New Roman" w:hAnsi="Times New Roman"/>
          <w:sz w:val="24"/>
        </w:rPr>
        <w:t>.</w:t>
      </w:r>
      <w:bookmarkStart w:id="0" w:name="_GoBack"/>
      <w:bookmarkEnd w:id="0"/>
    </w:p>
    <w:p w:rsidR="00A137AF" w:rsidRDefault="00A137AF" w:rsidP="00A137AF">
      <w:pPr>
        <w:spacing w:line="276" w:lineRule="auto"/>
        <w:jc w:val="both"/>
        <w:rPr>
          <w:rFonts w:ascii="Times New Roman" w:hAnsi="Times New Roman"/>
          <w:sz w:val="24"/>
        </w:rPr>
      </w:pPr>
      <w:r w:rsidRPr="00A137AF">
        <w:rPr>
          <w:rFonts w:ascii="Times New Roman" w:hAnsi="Times New Roman"/>
          <w:b/>
          <w:sz w:val="24"/>
        </w:rPr>
        <w:t>Table</w:t>
      </w:r>
      <w:r>
        <w:rPr>
          <w:rFonts w:ascii="Times New Roman" w:hAnsi="Times New Roman"/>
          <w:b/>
          <w:sz w:val="24"/>
        </w:rPr>
        <w:t xml:space="preserve"> 2</w:t>
      </w:r>
      <w:r w:rsidRPr="00A137AF">
        <w:rPr>
          <w:rFonts w:ascii="Times New Roman" w:hAnsi="Times New Roman"/>
          <w:b/>
          <w:sz w:val="24"/>
        </w:rPr>
        <w:t>:</w:t>
      </w:r>
      <w:r>
        <w:rPr>
          <w:rFonts w:ascii="Times New Roman" w:hAnsi="Times New Roman"/>
          <w:sz w:val="24"/>
        </w:rPr>
        <w:t xml:space="preserve"> D</w:t>
      </w:r>
      <w:r w:rsidRPr="00A137AF">
        <w:rPr>
          <w:rFonts w:ascii="Times New Roman" w:hAnsi="Times New Roman"/>
          <w:sz w:val="24"/>
        </w:rPr>
        <w:t>egree of human development index</w:t>
      </w:r>
    </w:p>
    <w:tbl>
      <w:tblPr>
        <w:tblW w:w="8415" w:type="dxa"/>
        <w:tblCellMar>
          <w:left w:w="70" w:type="dxa"/>
          <w:right w:w="70" w:type="dxa"/>
        </w:tblCellMar>
        <w:tblLook w:val="04A0" w:firstRow="1" w:lastRow="0" w:firstColumn="1" w:lastColumn="0" w:noHBand="0" w:noVBand="1"/>
      </w:tblPr>
      <w:tblGrid>
        <w:gridCol w:w="5696"/>
        <w:gridCol w:w="2719"/>
      </w:tblGrid>
      <w:tr w:rsidR="00A137AF" w:rsidRPr="00A137AF" w:rsidTr="00A137AF">
        <w:trPr>
          <w:trHeight w:val="311"/>
        </w:trPr>
        <w:tc>
          <w:tcPr>
            <w:tcW w:w="5696" w:type="dxa"/>
            <w:tcBorders>
              <w:top w:val="single" w:sz="4" w:space="0" w:color="auto"/>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proofErr w:type="spellStart"/>
            <w:r w:rsidRPr="00A137AF">
              <w:rPr>
                <w:rFonts w:ascii="Times New Roman" w:eastAsia="Times New Roman" w:hAnsi="Times New Roman"/>
                <w:color w:val="000000"/>
                <w:lang w:val="pt-PT" w:eastAsia="pt-PT"/>
              </w:rPr>
              <w:t>Very</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high</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human</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development</w:t>
            </w:r>
            <w:proofErr w:type="spellEnd"/>
          </w:p>
        </w:tc>
        <w:tc>
          <w:tcPr>
            <w:tcW w:w="2719" w:type="dxa"/>
            <w:tcBorders>
              <w:top w:val="single" w:sz="4" w:space="0" w:color="auto"/>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r w:rsidRPr="00A137AF">
              <w:rPr>
                <w:rFonts w:ascii="Times New Roman" w:eastAsia="Times New Roman" w:hAnsi="Times New Roman"/>
                <w:color w:val="000000"/>
                <w:lang w:val="pt-PT" w:eastAsia="pt-PT"/>
              </w:rPr>
              <w:t xml:space="preserve">0.800 </w:t>
            </w:r>
            <w:proofErr w:type="spellStart"/>
            <w:r w:rsidRPr="00A137AF">
              <w:rPr>
                <w:rFonts w:ascii="Times New Roman" w:eastAsia="Times New Roman" w:hAnsi="Times New Roman"/>
                <w:color w:val="000000"/>
                <w:lang w:val="pt-PT" w:eastAsia="pt-PT"/>
              </w:rPr>
              <w:t>and</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bove</w:t>
            </w:r>
            <w:proofErr w:type="spellEnd"/>
          </w:p>
        </w:tc>
      </w:tr>
      <w:tr w:rsidR="00A137AF" w:rsidRPr="00A137AF" w:rsidTr="00A137AF">
        <w:trPr>
          <w:trHeight w:val="311"/>
        </w:trPr>
        <w:tc>
          <w:tcPr>
            <w:tcW w:w="5696" w:type="dxa"/>
            <w:tcBorders>
              <w:top w:val="nil"/>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proofErr w:type="spellStart"/>
            <w:r w:rsidRPr="00A137AF">
              <w:rPr>
                <w:rFonts w:ascii="Times New Roman" w:eastAsia="Times New Roman" w:hAnsi="Times New Roman"/>
                <w:color w:val="000000"/>
                <w:lang w:val="pt-PT" w:eastAsia="pt-PT"/>
              </w:rPr>
              <w:t>High</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human</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development</w:t>
            </w:r>
            <w:proofErr w:type="spellEnd"/>
          </w:p>
        </w:tc>
        <w:tc>
          <w:tcPr>
            <w:tcW w:w="2719" w:type="dxa"/>
            <w:tcBorders>
              <w:top w:val="nil"/>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r w:rsidRPr="00A137AF">
              <w:rPr>
                <w:rFonts w:ascii="Times New Roman" w:eastAsia="Times New Roman" w:hAnsi="Times New Roman"/>
                <w:color w:val="000000"/>
                <w:lang w:val="pt-PT" w:eastAsia="pt-PT"/>
              </w:rPr>
              <w:t>0.700 -0.799</w:t>
            </w:r>
          </w:p>
        </w:tc>
      </w:tr>
      <w:tr w:rsidR="00A137AF" w:rsidRPr="00A137AF" w:rsidTr="00A137AF">
        <w:trPr>
          <w:trHeight w:val="311"/>
        </w:trPr>
        <w:tc>
          <w:tcPr>
            <w:tcW w:w="5696" w:type="dxa"/>
            <w:tcBorders>
              <w:top w:val="nil"/>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proofErr w:type="spellStart"/>
            <w:r w:rsidRPr="00A137AF">
              <w:rPr>
                <w:rFonts w:ascii="Times New Roman" w:eastAsia="Times New Roman" w:hAnsi="Times New Roman"/>
                <w:color w:val="000000"/>
                <w:lang w:val="pt-PT" w:eastAsia="pt-PT"/>
              </w:rPr>
              <w:t>Medium</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human</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development</w:t>
            </w:r>
            <w:proofErr w:type="spellEnd"/>
          </w:p>
        </w:tc>
        <w:tc>
          <w:tcPr>
            <w:tcW w:w="2719" w:type="dxa"/>
            <w:tcBorders>
              <w:top w:val="nil"/>
              <w:left w:val="nil"/>
              <w:bottom w:val="nil"/>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r w:rsidRPr="00A137AF">
              <w:rPr>
                <w:rFonts w:ascii="Times New Roman" w:eastAsia="Times New Roman" w:hAnsi="Times New Roman"/>
                <w:color w:val="000000"/>
                <w:lang w:val="pt-PT" w:eastAsia="pt-PT"/>
              </w:rPr>
              <w:t>0.550-0.699</w:t>
            </w:r>
          </w:p>
        </w:tc>
      </w:tr>
      <w:tr w:rsidR="00A137AF" w:rsidRPr="00A137AF" w:rsidTr="00A137AF">
        <w:trPr>
          <w:trHeight w:val="327"/>
        </w:trPr>
        <w:tc>
          <w:tcPr>
            <w:tcW w:w="5696" w:type="dxa"/>
            <w:tcBorders>
              <w:top w:val="nil"/>
              <w:left w:val="nil"/>
              <w:bottom w:val="single" w:sz="8" w:space="0" w:color="auto"/>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proofErr w:type="spellStart"/>
            <w:r w:rsidRPr="00A137AF">
              <w:rPr>
                <w:rFonts w:ascii="Times New Roman" w:eastAsia="Times New Roman" w:hAnsi="Times New Roman"/>
                <w:color w:val="000000"/>
                <w:lang w:val="pt-PT" w:eastAsia="pt-PT"/>
              </w:rPr>
              <w:t>Low</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human</w:t>
            </w:r>
            <w:proofErr w:type="spellEnd"/>
            <w:r w:rsidRPr="00A137AF">
              <w:rPr>
                <w:rFonts w:ascii="Times New Roman" w:eastAsia="Times New Roman" w:hAnsi="Times New Roman"/>
                <w:color w:val="000000"/>
                <w:lang w:val="pt-PT" w:eastAsia="pt-PT"/>
              </w:rPr>
              <w:t xml:space="preserve"> </w:t>
            </w:r>
            <w:proofErr w:type="spellStart"/>
            <w:r w:rsidRPr="00A137AF">
              <w:rPr>
                <w:rFonts w:ascii="Times New Roman" w:eastAsia="Times New Roman" w:hAnsi="Times New Roman"/>
                <w:color w:val="000000"/>
                <w:lang w:val="pt-PT" w:eastAsia="pt-PT"/>
              </w:rPr>
              <w:t>development</w:t>
            </w:r>
            <w:proofErr w:type="spellEnd"/>
          </w:p>
        </w:tc>
        <w:tc>
          <w:tcPr>
            <w:tcW w:w="2719" w:type="dxa"/>
            <w:tcBorders>
              <w:top w:val="nil"/>
              <w:left w:val="nil"/>
              <w:bottom w:val="single" w:sz="8" w:space="0" w:color="auto"/>
              <w:right w:val="nil"/>
            </w:tcBorders>
            <w:shd w:val="clear" w:color="auto" w:fill="auto"/>
            <w:noWrap/>
            <w:vAlign w:val="center"/>
            <w:hideMark/>
          </w:tcPr>
          <w:p w:rsidR="00A137AF" w:rsidRPr="00A137AF" w:rsidRDefault="00A137AF" w:rsidP="00A137AF">
            <w:pPr>
              <w:spacing w:after="0" w:line="240" w:lineRule="auto"/>
              <w:rPr>
                <w:rFonts w:ascii="Times New Roman" w:eastAsia="Times New Roman" w:hAnsi="Times New Roman"/>
                <w:color w:val="000000"/>
                <w:lang w:val="pt-PT" w:eastAsia="pt-PT"/>
              </w:rPr>
            </w:pPr>
            <w:proofErr w:type="spellStart"/>
            <w:r w:rsidRPr="00A137AF">
              <w:rPr>
                <w:rFonts w:ascii="Times New Roman" w:eastAsia="Times New Roman" w:hAnsi="Times New Roman"/>
                <w:color w:val="000000"/>
                <w:lang w:val="pt-PT" w:eastAsia="pt-PT"/>
              </w:rPr>
              <w:t>Below</w:t>
            </w:r>
            <w:proofErr w:type="spellEnd"/>
            <w:r w:rsidRPr="00A137AF">
              <w:rPr>
                <w:rFonts w:ascii="Times New Roman" w:eastAsia="Times New Roman" w:hAnsi="Times New Roman"/>
                <w:color w:val="000000"/>
                <w:lang w:val="pt-PT" w:eastAsia="pt-PT"/>
              </w:rPr>
              <w:t xml:space="preserve"> 0.550</w:t>
            </w:r>
          </w:p>
        </w:tc>
      </w:tr>
    </w:tbl>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Pr="001F362B" w:rsidRDefault="001F362B" w:rsidP="00763BAF">
      <w:pPr>
        <w:spacing w:line="276" w:lineRule="auto"/>
        <w:jc w:val="both"/>
        <w:rPr>
          <w:rFonts w:ascii="Times New Roman" w:hAnsi="Times New Roman"/>
          <w:b/>
          <w:sz w:val="24"/>
        </w:rPr>
      </w:pPr>
      <w:r w:rsidRPr="001F362B">
        <w:rPr>
          <w:rFonts w:ascii="Times New Roman" w:hAnsi="Times New Roman"/>
          <w:b/>
          <w:sz w:val="24"/>
        </w:rPr>
        <w:lastRenderedPageBreak/>
        <w:t>3. A multivariate analysis of the human development index: Proposal and Comparison</w:t>
      </w:r>
    </w:p>
    <w:sectPr w:rsidR="001F362B" w:rsidRPr="001F36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04" w:rsidRDefault="000E3A04" w:rsidP="000E3A04">
      <w:pPr>
        <w:spacing w:after="0" w:line="240" w:lineRule="auto"/>
      </w:pPr>
      <w:r>
        <w:separator/>
      </w:r>
    </w:p>
  </w:endnote>
  <w:endnote w:type="continuationSeparator" w:id="0">
    <w:p w:rsidR="000E3A04" w:rsidRDefault="000E3A04" w:rsidP="000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04" w:rsidRDefault="000E3A04" w:rsidP="000E3A04">
      <w:pPr>
        <w:spacing w:after="0" w:line="240" w:lineRule="auto"/>
      </w:pPr>
      <w:r>
        <w:separator/>
      </w:r>
    </w:p>
  </w:footnote>
  <w:footnote w:type="continuationSeparator" w:id="0">
    <w:p w:rsidR="000E3A04" w:rsidRDefault="000E3A04" w:rsidP="000E3A04">
      <w:pPr>
        <w:spacing w:after="0" w:line="240" w:lineRule="auto"/>
      </w:pPr>
      <w:r>
        <w:continuationSeparator/>
      </w:r>
    </w:p>
  </w:footnote>
  <w:footnote w:id="1">
    <w:p w:rsidR="000E3A04" w:rsidRPr="009D37AA" w:rsidRDefault="000E3A04" w:rsidP="000E3A04">
      <w:pPr>
        <w:pStyle w:val="Textodenotaderodap"/>
        <w:rPr>
          <w:rFonts w:ascii="Times New Roman" w:hAnsi="Times New Roman"/>
        </w:rPr>
      </w:pPr>
      <w:r w:rsidRPr="009D37AA">
        <w:rPr>
          <w:rStyle w:val="Refdenotaderodap"/>
          <w:rFonts w:ascii="Times New Roman" w:hAnsi="Times New Roman"/>
        </w:rPr>
        <w:footnoteRef/>
      </w:r>
      <w:r w:rsidRPr="009D37AA">
        <w:rPr>
          <w:rFonts w:ascii="Times New Roman" w:hAnsi="Times New Roman"/>
        </w:rPr>
        <w:t xml:space="preserve"> This topic is based on the technical note of the United Nations Human Development 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1D4"/>
    <w:multiLevelType w:val="hybridMultilevel"/>
    <w:tmpl w:val="28D83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B0"/>
    <w:rsid w:val="00064300"/>
    <w:rsid w:val="000935A1"/>
    <w:rsid w:val="000E3A04"/>
    <w:rsid w:val="00106287"/>
    <w:rsid w:val="001476E4"/>
    <w:rsid w:val="00190ED1"/>
    <w:rsid w:val="001F362B"/>
    <w:rsid w:val="00203266"/>
    <w:rsid w:val="002145AB"/>
    <w:rsid w:val="00243A00"/>
    <w:rsid w:val="002648B0"/>
    <w:rsid w:val="002727E5"/>
    <w:rsid w:val="00375DF2"/>
    <w:rsid w:val="003B367F"/>
    <w:rsid w:val="003E75EC"/>
    <w:rsid w:val="00417B3F"/>
    <w:rsid w:val="004A0CCC"/>
    <w:rsid w:val="004D3F1D"/>
    <w:rsid w:val="006A4835"/>
    <w:rsid w:val="00763BAF"/>
    <w:rsid w:val="009560CF"/>
    <w:rsid w:val="009D37AA"/>
    <w:rsid w:val="00A137AF"/>
    <w:rsid w:val="00A2514F"/>
    <w:rsid w:val="00B34743"/>
    <w:rsid w:val="00C2226D"/>
    <w:rsid w:val="00C94443"/>
    <w:rsid w:val="00DD248B"/>
    <w:rsid w:val="00FB61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0120"/>
  <w15:chartTrackingRefBased/>
  <w15:docId w15:val="{9BC5EB04-F236-4128-BCA3-588770F3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4"/>
    <w:rPr>
      <w:rFonts w:eastAsiaTheme="minorEastAsia" w:cs="Times New Roman"/>
      <w:lang w:val="en-GB"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arter"/>
    <w:uiPriority w:val="99"/>
    <w:semiHidden/>
    <w:unhideWhenUsed/>
    <w:rsid w:val="000E3A04"/>
    <w:rPr>
      <w:sz w:val="20"/>
      <w:szCs w:val="20"/>
    </w:rPr>
  </w:style>
  <w:style w:type="character" w:customStyle="1" w:styleId="TextodenotaderodapCarter">
    <w:name w:val="Texto de nota de rodapé Caráter"/>
    <w:basedOn w:val="Tipodeletrapredefinidodopargrafo"/>
    <w:link w:val="Textodenotaderodap"/>
    <w:uiPriority w:val="99"/>
    <w:semiHidden/>
    <w:rsid w:val="000E3A04"/>
    <w:rPr>
      <w:rFonts w:eastAsiaTheme="minorEastAsia" w:cs="Times New Roman"/>
      <w:sz w:val="20"/>
      <w:szCs w:val="20"/>
      <w:lang w:val="en-GB" w:eastAsia="en-GB"/>
    </w:rPr>
  </w:style>
  <w:style w:type="character" w:styleId="Refdenotaderodap">
    <w:name w:val="footnote reference"/>
    <w:basedOn w:val="Tipodeletrapredefinidodopargrafo"/>
    <w:uiPriority w:val="99"/>
    <w:semiHidden/>
    <w:unhideWhenUsed/>
    <w:rsid w:val="000E3A04"/>
    <w:rPr>
      <w:rFonts w:cs="Times New Roman"/>
      <w:vertAlign w:val="superscript"/>
    </w:rPr>
  </w:style>
  <w:style w:type="character" w:styleId="TextodoMarcadordePosio">
    <w:name w:val="Placeholder Text"/>
    <w:basedOn w:val="Tipodeletrapredefinidodopargrafo"/>
    <w:uiPriority w:val="99"/>
    <w:semiHidden/>
    <w:rsid w:val="00763BAF"/>
    <w:rPr>
      <w:color w:val="808080"/>
    </w:rPr>
  </w:style>
  <w:style w:type="paragraph" w:styleId="PargrafodaLista">
    <w:name w:val="List Paragraph"/>
    <w:basedOn w:val="Normal"/>
    <w:uiPriority w:val="34"/>
    <w:qFormat/>
    <w:rsid w:val="00272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994">
      <w:bodyDiv w:val="1"/>
      <w:marLeft w:val="0"/>
      <w:marRight w:val="0"/>
      <w:marTop w:val="0"/>
      <w:marBottom w:val="0"/>
      <w:divBdr>
        <w:top w:val="none" w:sz="0" w:space="0" w:color="auto"/>
        <w:left w:val="none" w:sz="0" w:space="0" w:color="auto"/>
        <w:bottom w:val="none" w:sz="0" w:space="0" w:color="auto"/>
        <w:right w:val="none" w:sz="0" w:space="0" w:color="auto"/>
      </w:divBdr>
    </w:div>
    <w:div w:id="163131320">
      <w:bodyDiv w:val="1"/>
      <w:marLeft w:val="0"/>
      <w:marRight w:val="0"/>
      <w:marTop w:val="0"/>
      <w:marBottom w:val="0"/>
      <w:divBdr>
        <w:top w:val="none" w:sz="0" w:space="0" w:color="auto"/>
        <w:left w:val="none" w:sz="0" w:space="0" w:color="auto"/>
        <w:bottom w:val="none" w:sz="0" w:space="0" w:color="auto"/>
        <w:right w:val="none" w:sz="0" w:space="0" w:color="auto"/>
      </w:divBdr>
    </w:div>
    <w:div w:id="626475237">
      <w:bodyDiv w:val="1"/>
      <w:marLeft w:val="0"/>
      <w:marRight w:val="0"/>
      <w:marTop w:val="0"/>
      <w:marBottom w:val="0"/>
      <w:divBdr>
        <w:top w:val="none" w:sz="0" w:space="0" w:color="auto"/>
        <w:left w:val="none" w:sz="0" w:space="0" w:color="auto"/>
        <w:bottom w:val="none" w:sz="0" w:space="0" w:color="auto"/>
        <w:right w:val="none" w:sz="0" w:space="0" w:color="auto"/>
      </w:divBdr>
    </w:div>
    <w:div w:id="10147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818</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Tavares</dc:creator>
  <cp:keywords/>
  <dc:description/>
  <cp:lastModifiedBy>Rodolfo Tavares</cp:lastModifiedBy>
  <cp:revision>6</cp:revision>
  <dcterms:created xsi:type="dcterms:W3CDTF">2021-11-16T11:45:00Z</dcterms:created>
  <dcterms:modified xsi:type="dcterms:W3CDTF">2021-11-16T12:01:00Z</dcterms:modified>
</cp:coreProperties>
</file>