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i w:val="0"/>
          <w:sz w:val="36"/>
        </w:rPr>
        <w:t>ASUC-SOM: Subspace-Aware Adaptive Routing for Sequential Machine Unlearning under GDPR Article 17</w:t>
      </w:r>
    </w:p>
    <w:p>
      <w:pPr>
        <w:spacing w:after="280"/>
        <w:jc w:val="center"/>
      </w:pPr>
      <w:r>
        <w:rPr>
          <w:rFonts w:ascii="Times New Roman" w:hAnsi="Times New Roman"/>
          <w:b/>
          <w:i w:val="0"/>
          <w:sz w:val="20"/>
        </w:rPr>
        <w:t>Mithul Kannan</w:t>
        <w:br/>
      </w:r>
      <w:r>
        <w:rPr>
          <w:rFonts w:ascii="Times New Roman" w:hAnsi="Times New Roman"/>
          <w:b w:val="0"/>
          <w:i/>
          <w:sz w:val="18"/>
        </w:rPr>
        <w:t>Department of Computer Science and Engineering</w:t>
        <w:br/>
        <w:t>Autonomous Systems and Machine Learning Research Group</w:t>
        <w:br/>
      </w:r>
      <w:r>
        <w:rPr>
          <w:rFonts w:ascii="Times New Roman" w:hAnsi="Times New Roman"/>
          <w:b w:val="0"/>
          <w:i w:val="0"/>
          <w:sz w:val="18"/>
        </w:rPr>
        <w:t>mithulkannan@ieee.org</w:t>
      </w:r>
    </w:p>
    <w:p>
      <w:pPr>
        <w:sectPr>
          <w:pgSz w:w="12240" w:h="15840"/>
          <w:pgMar w:top="1080" w:right="900" w:bottom="1440" w:left="900" w:header="720" w:footer="720" w:gutter="0"/>
          <w:cols w:space="720"/>
          <w:docGrid w:linePitch="360"/>
        </w:sectPr>
      </w:pPr>
    </w:p>
    <w:p>
      <w:pPr>
        <w:spacing w:after="80" w:line="240" w:lineRule="auto"/>
        <w:ind w:firstLine="288"/>
        <w:jc w:val="both"/>
      </w:pPr>
      <w:r>
        <w:rPr>
          <w:rFonts w:ascii="Times New Roman" w:hAnsi="Times New Roman"/>
          <w:b/>
          <w:i/>
          <w:sz w:val="18"/>
        </w:rPr>
        <w:t>Abstract—</w:t>
      </w:r>
      <w:r>
        <w:rPr>
          <w:rFonts w:ascii="Times New Roman" w:hAnsi="Times New Roman"/>
          <w:b w:val="0"/>
          <w:i w:val="0"/>
          <w:sz w:val="18"/>
        </w:rPr>
        <w:t>Machine unlearning is usually studied one request at a time: a model is trained, a forget set is named, an algorithm removes it, and the evaluation stops. Regulation does not work that way. Under GDPR Article 17 and the CCPA, erasure requests keep arriving for as long as a system stays in service, and each one lands on a model that earlier requests have already altered. We argue that this sequential setting is where fast unlearning methods such as SSD and SalUn break down, with retain accuracy sliding toward chance within two to five consecutive requests. We present ASUC-SOM, a controller that treats a stream of deletions as a closed-loop control problem. A Subspace Overlap Monitor (SOM) keeps a low-rank orthonormal basis of directions that earlier unlearning steps have already changed, and scores how much of a new deletion gradient falls inside it, which gives a warning before any weights are touched. A tiered router then chooses between SSD, SalUn with retain regularization, and exact retraining, using the SOM score and the shape of the request. A verification gate checks forget accuracy, retain accuracy and membership-inference risk, and if any check fails the checkpoint is rolled back and the request is escalated one tier. The two fast tiers run about 150× and 115× faster than retraining. A compliance layer wraps the controller and records every batch in a hash-chained audit trail.</w:t>
      </w:r>
    </w:p>
    <w:p>
      <w:pPr>
        <w:spacing w:after="200"/>
        <w:ind w:firstLine="288"/>
        <w:jc w:val="both"/>
      </w:pPr>
      <w:r>
        <w:rPr>
          <w:rFonts w:ascii="Times New Roman" w:hAnsi="Times New Roman"/>
          <w:b/>
          <w:i/>
          <w:sz w:val="18"/>
        </w:rPr>
        <w:t>Index Terms—</w:t>
      </w:r>
      <w:r>
        <w:rPr>
          <w:rFonts w:ascii="Times New Roman" w:hAnsi="Times New Roman"/>
          <w:b w:val="0"/>
          <w:i/>
          <w:sz w:val="18"/>
        </w:rPr>
        <w:t>machine unlearning, sequential deletion, GDPR Article 17, right to be forgotten, selective synaptic dampening, saliency, subspace monitoring, membership inference.</w:t>
      </w:r>
    </w:p>
    <w:p>
      <w:pPr>
        <w:keepNext/>
        <w:spacing w:before="240" w:after="80"/>
        <w:jc w:val="center"/>
      </w:pPr>
      <w:r>
        <w:rPr>
          <w:rFonts w:ascii="Times New Roman" w:hAnsi="Times New Roman"/>
          <w:b/>
          <w:i w:val="0"/>
          <w:sz w:val="20"/>
        </w:rPr>
        <w:t>I. INTRODUCTION</w:t>
      </w:r>
    </w:p>
    <w:p>
      <w:pPr>
        <w:spacing w:before="0" w:after="80" w:line="240" w:lineRule="auto"/>
        <w:ind w:firstLine="288"/>
        <w:jc w:val="both"/>
      </w:pPr>
      <w:r>
        <w:rPr>
          <w:rFonts w:ascii="Times New Roman" w:hAnsi="Times New Roman"/>
          <w:b w:val="0"/>
          <w:i w:val="0"/>
          <w:sz w:val="20"/>
        </w:rPr>
        <w:t>A trained network is, in a practical sense, a compressed copy of its training data. When someone invokes the right to erasure in Article 17 of the GDPR [1], or the deletion rights in the CCPA, the operator of a model has to decide what that request means for the weights. The cleanest answer is to retrain from scratch without that person’s records. It is also, for any model of useful size, an answer nobody wants to pay for every time a request comes in. Machine unlearning grew out of this tension [2], [3]. The question is whether the influence of a forget set Df can be removed faster than retraining, and whether anyone can show that it worked.</w:t>
      </w:r>
    </w:p>
    <w:p>
      <w:pPr>
        <w:spacing w:before="0" w:after="80" w:line="240" w:lineRule="auto"/>
        <w:ind w:firstLine="288"/>
        <w:jc w:val="both"/>
      </w:pPr>
      <w:r>
        <w:rPr>
          <w:rFonts w:ascii="Times New Roman" w:hAnsi="Times New Roman"/>
          <w:b w:val="0"/>
          <w:i w:val="0"/>
          <w:sz w:val="20"/>
        </w:rPr>
        <w:t>The last few years have produced several good answers to the single-request version of that question. Selective Synaptic Dampening (SSD) rescales parameters that matter more to the forget set than to the rest of the data, and needs no gradient steps at all [4]. SalUn confines fine-tuning to weights with high gradient saliency on the forget set [5]. Gradient ascent, Fisher-based noise injection [7] and teacher-based approaches [10] fill out the picture. Nearly all of this work is evaluated the same way. Take one trained model, delete one set, report forget and retain accuracy, and stop.</w:t>
      </w:r>
    </w:p>
    <w:p>
      <w:pPr>
        <w:spacing w:before="0" w:after="80" w:line="240" w:lineRule="auto"/>
        <w:ind w:firstLine="288"/>
        <w:jc w:val="both"/>
      </w:pPr>
      <w:r>
        <w:rPr>
          <w:rFonts w:ascii="Times New Roman" w:hAnsi="Times New Roman"/>
          <w:b w:val="0"/>
          <w:i w:val="0"/>
          <w:sz w:val="20"/>
        </w:rPr>
        <w:t>That protocol is a poor match for how deletion happens in production. Requests arrive over weeks and months, in different sizes, and from different corners of the label space. The model that receives the twentieth request is not the model that was trained; it is the product of nineteen earlier edits. Three things go wrong when a static method is applied repeatedly. First, updates accumulate error, and retain accuracy often falls to roughly random guessing after two to five rounds. We call this parameter fatigue. Second, no single method suits every request. Removing 50 random samples and removing 2,000 samples of a single class are geometrically very different jobs, yet a fixed algorithm treats them identically. Third, updates are applied blind. Nothing asks what earlier edits did to the same weights beforehand, and nothing confirms afterwards that the job was done.</w:t>
      </w:r>
    </w:p>
    <w:p>
      <w:pPr>
        <w:spacing w:before="0" w:after="80" w:line="240" w:lineRule="auto"/>
        <w:ind w:firstLine="288"/>
        <w:jc w:val="both"/>
      </w:pPr>
      <w:r>
        <w:rPr>
          <w:rFonts w:ascii="Times New Roman" w:hAnsi="Times New Roman"/>
          <w:b w:val="0"/>
          <w:i w:val="0"/>
          <w:sz w:val="20"/>
        </w:rPr>
        <w:t>This paper describes ASUC-SOM, a controller built around those three observations. Our contributions are as follows. (i) We pose sequential unlearning as a control problem with per-round constraints, and introduce the Subspace Overlap Monitor, a cheap geometric score that predicts fatigue before an update is applied. (ii) We design a three-tier router that matches each request to SSD, SalUn or exact retraining based on the SOM score and on request statistics. (iii) We add a closed-loop verification gate with rollback and automatic escalation, so that no model is released until it passes. (iv) We package these pieces in a compliance layer that produces a tamper-evident audit record for each batch. The rest of the paper covers related work (Section II), the problem setting (Section III), the framework (Section IV), the evaluation design (Section V), discussion of results (Section VI), limitations (Section VII) and conclusions (Section VIII).</w:t>
      </w:r>
    </w:p>
    <w:p>
      <w:pPr>
        <w:keepNext/>
        <w:spacing w:before="240" w:after="80"/>
        <w:jc w:val="center"/>
      </w:pPr>
      <w:r>
        <w:rPr>
          <w:rFonts w:ascii="Times New Roman" w:hAnsi="Times New Roman"/>
          <w:b/>
          <w:i w:val="0"/>
          <w:sz w:val="20"/>
        </w:rPr>
        <w:t>II. RELATED WORK</w:t>
      </w:r>
    </w:p>
    <w:p>
      <w:pPr>
        <w:keepNext/>
        <w:spacing w:before="160" w:after="40"/>
        <w:jc w:val="left"/>
      </w:pPr>
      <w:r>
        <w:rPr>
          <w:rFonts w:ascii="Times New Roman" w:hAnsi="Times New Roman"/>
          <w:b/>
          <w:i/>
          <w:sz w:val="20"/>
        </w:rPr>
        <w:t>A. Exact and approximate unlearning</w:t>
      </w:r>
    </w:p>
    <w:p>
      <w:pPr>
        <w:spacing w:before="0" w:after="80" w:line="240" w:lineRule="auto"/>
        <w:ind w:firstLine="288"/>
        <w:jc w:val="both"/>
      </w:pPr>
      <w:r>
        <w:rPr>
          <w:rFonts w:ascii="Times New Roman" w:hAnsi="Times New Roman"/>
          <w:b w:val="0"/>
          <w:i w:val="0"/>
          <w:sz w:val="20"/>
        </w:rPr>
        <w:t>Cao and Yang introduced the term for statistical-query learners [2], and Bourtoule et al. made exact unlearning practical for deep models by sharding the training data and retraining only the affected shard (SISA) [3]. Ginart et al. studied deletion for clustering [14], and Sekhari et al. gave generalization-based guarantees for what can be deleted [15]. Approximate methods trade guarantees for speed. Golatkar et al. scrub weights using Fisher information [7], Graves et al. undo the updates that a batch contributed [13], and Chundawat et al. distil the forgetting behaviour from a deliberately incompetent teacher [10]. SSD [4] and SalUn [5] are the two fast methods that we use as building blocks. Thudi et al. caution that the metrics used to judge approximate unlearning can be misleading [8], a point we return to in Section VII.</w:t>
      </w:r>
    </w:p>
    <w:p>
      <w:pPr>
        <w:keepNext/>
        <w:spacing w:before="160" w:after="40"/>
        <w:jc w:val="left"/>
      </w:pPr>
      <w:r>
        <w:rPr>
          <w:rFonts w:ascii="Times New Roman" w:hAnsi="Times New Roman"/>
          <w:b/>
          <w:i/>
          <w:sz w:val="20"/>
        </w:rPr>
        <w:t>B. Sequential and adaptive deletion</w:t>
      </w:r>
    </w:p>
    <w:p>
      <w:pPr>
        <w:spacing w:before="0" w:after="80" w:line="240" w:lineRule="auto"/>
        <w:ind w:firstLine="288"/>
        <w:jc w:val="both"/>
      </w:pPr>
      <w:r>
        <w:rPr>
          <w:rFonts w:ascii="Times New Roman" w:hAnsi="Times New Roman"/>
          <w:b w:val="0"/>
          <w:i w:val="0"/>
          <w:sz w:val="20"/>
        </w:rPr>
        <w:t>Most closely related in spirit is the work of Gupta et al. on adaptive machine unlearning [12], which examines deletion sequences in which later requests may depend on earlier model outputs and gives guarantees for certain learners. Their analysis is theoretical and centres on what an adversary can do with a stream of requests. Our concern is the engineering side of the same setting: what happens to the accuracy of a deep network when a fast heuristic is applied twenty times in a row, and what a controller can do about it.</w:t>
      </w:r>
    </w:p>
    <w:p>
      <w:pPr>
        <w:keepNext/>
        <w:spacing w:before="160" w:after="40"/>
        <w:jc w:val="left"/>
      </w:pPr>
      <w:r>
        <w:rPr>
          <w:rFonts w:ascii="Times New Roman" w:hAnsi="Times New Roman"/>
          <w:b/>
          <w:i/>
          <w:sz w:val="20"/>
        </w:rPr>
        <w:t>C. Catastrophic forgetting and subspace methods</w:t>
      </w:r>
    </w:p>
    <w:p>
      <w:pPr>
        <w:spacing w:before="0" w:after="80" w:line="240" w:lineRule="auto"/>
        <w:ind w:firstLine="288"/>
        <w:jc w:val="both"/>
      </w:pPr>
      <w:r>
        <w:rPr>
          <w:rFonts w:ascii="Times New Roman" w:hAnsi="Times New Roman"/>
          <w:b w:val="0"/>
          <w:i w:val="0"/>
          <w:sz w:val="20"/>
        </w:rPr>
        <w:t>Unlearning repeated many times resembles continual learning run in the wrong direction. Elastic weight consolidation limits drift in parameters that earlier tasks relied on [6], and gradient projection memory keeps a basis of important subspaces and projects new steps to be orthogonal to it [16]. SOM borrows the idea of maintaining a low-rank basis but uses it differently. It never constrains the update. It acts as a sensor, and its reading selects which unlearning primitive is safe to use.</w:t>
      </w:r>
    </w:p>
    <w:p>
      <w:pPr>
        <w:keepNext/>
        <w:spacing w:before="160" w:after="40"/>
        <w:jc w:val="left"/>
      </w:pPr>
      <w:r>
        <w:rPr>
          <w:rFonts w:ascii="Times New Roman" w:hAnsi="Times New Roman"/>
          <w:b/>
          <w:i/>
          <w:sz w:val="20"/>
        </w:rPr>
        <w:t>D. Auditing unlearning</w:t>
      </w:r>
    </w:p>
    <w:p>
      <w:pPr>
        <w:spacing w:before="0" w:after="80" w:line="240" w:lineRule="auto"/>
        <w:ind w:firstLine="288"/>
        <w:jc w:val="both"/>
      </w:pPr>
      <w:r>
        <w:rPr>
          <w:rFonts w:ascii="Times New Roman" w:hAnsi="Times New Roman"/>
          <w:b w:val="0"/>
          <w:i w:val="0"/>
          <w:sz w:val="20"/>
        </w:rPr>
        <w:t>Membership inference [9], [17] is the standard tool for asking whether a model still behaves differently on data it was supposed to forget. We use it as one of three checks in the verification gate, not as the only one, for reasons discussed later.</w:t>
      </w:r>
    </w:p>
    <w:p>
      <w:pPr>
        <w:spacing w:before="0" w:after="80" w:line="240" w:lineRule="auto"/>
        <w:ind w:firstLine="288"/>
        <w:jc w:val="both"/>
      </w:pPr>
      <w:r>
        <w:rPr>
          <w:rFonts w:ascii="Times New Roman" w:hAnsi="Times New Roman"/>
          <w:b w:val="0"/>
          <w:i w:val="0"/>
          <w:sz w:val="20"/>
        </w:rPr>
        <w:t>Outside the machine-learning literature, the practical question is what a regulator or a customer would accept as evidence. Whatever the answer turns out to be, an operator will want a record of what was checked and when. That is why we speak of audit trails in this paper and avoid the word certification.</w:t>
      </w:r>
    </w:p>
    <w:p>
      <w:pPr>
        <w:keepNext/>
        <w:spacing w:before="240" w:after="80"/>
        <w:jc w:val="center"/>
      </w:pPr>
      <w:r>
        <w:rPr>
          <w:rFonts w:ascii="Times New Roman" w:hAnsi="Times New Roman"/>
          <w:b/>
          <w:i w:val="0"/>
          <w:sz w:val="20"/>
        </w:rPr>
        <w:t>III. PROBLEM FORMULATION</w:t>
      </w:r>
    </w:p>
    <w:p>
      <w:pPr>
        <w:spacing w:before="0" w:after="80" w:line="240" w:lineRule="auto"/>
        <w:ind w:firstLine="288"/>
        <w:jc w:val="both"/>
      </w:pPr>
      <w:r>
        <w:rPr>
          <w:rFonts w:ascii="Times New Roman" w:hAnsi="Times New Roman"/>
          <w:b w:val="0"/>
          <w:i w:val="0"/>
          <w:sz w:val="20"/>
        </w:rPr>
        <w:t>Let a model θ0 be trained on a dataset D with C classes. Over time, a stream of deletion requests Df(1), …, Df(T) arrives. After t requests the retain set is Dr(t) = D ∖ (Df(1) ∪ … ∪ Df(t)). At each round the operator chooses one of three unlearning primitives at ∈ {1, 2, 3}, and the model is updated as</w:t>
      </w:r>
    </w:p>
    <w:p>
      <w:pPr>
        <w:spacing w:before="60" w:after="60"/>
        <w:ind w:firstLine="0"/>
        <w:jc w:val="right"/>
      </w:pPr>
      <w:r>
        <w:rPr>
          <w:rFonts w:ascii="Times New Roman" w:hAnsi="Times New Roman"/>
          <w:b w:val="0"/>
          <w:i/>
          <w:sz w:val="19"/>
        </w:rPr>
        <w:tab/>
        <w:t>θt = Uat(θt−1, Df(t), Dr(t))</w:t>
        <w:tab/>
        <w:t>(1)</w:t>
      </w:r>
    </w:p>
    <w:p>
      <w:pPr>
        <w:spacing w:before="0" w:after="80" w:line="240" w:lineRule="auto"/>
        <w:ind w:firstLine="288"/>
        <w:jc w:val="both"/>
      </w:pPr>
      <w:r>
        <w:rPr>
          <w:rFonts w:ascii="Times New Roman" w:hAnsi="Times New Roman"/>
          <w:b w:val="0"/>
          <w:i w:val="0"/>
          <w:sz w:val="20"/>
        </w:rPr>
        <w:t>A round is acceptable only if three conditions hold:</w:t>
      </w:r>
    </w:p>
    <w:p>
      <w:pPr>
        <w:spacing w:before="60" w:after="60"/>
        <w:ind w:firstLine="0"/>
        <w:jc w:val="right"/>
      </w:pPr>
      <w:r>
        <w:rPr>
          <w:rFonts w:ascii="Times New Roman" w:hAnsi="Times New Roman"/>
          <w:b w:val="0"/>
          <w:i/>
          <w:sz w:val="19"/>
        </w:rPr>
        <w:tab/>
        <w:t>Accf(θt) ≤ 1/C,    Accr(θt−1) − Accr(θt) ≤ ε,    |AUCt − 0.5| ≤ δ</w:t>
        <w:tab/>
        <w:t>(2)</w:t>
      </w:r>
    </w:p>
    <w:p>
      <w:pPr>
        <w:spacing w:before="0" w:after="80" w:line="240" w:lineRule="auto"/>
        <w:ind w:firstLine="288"/>
        <w:jc w:val="both"/>
      </w:pPr>
      <w:r>
        <w:rPr>
          <w:rFonts w:ascii="Times New Roman" w:hAnsi="Times New Roman"/>
          <w:b w:val="0"/>
          <w:i w:val="0"/>
          <w:sz w:val="20"/>
        </w:rPr>
        <w:t>The first asks for forget-set accuracy at or below chance, the second bounds the loss in retain accuracy relative to the previous verified checkpoint, and the third asks that a membership-inference attacker is no better than a coin flip. We use ε = 3 percentage points and, for CIFAR-10 [11], 1/C = 10%. The operator’s goal is to satisfy these conditions in every round while keeping total compute low. Exact retraining always meets the goal and sets the upper bound on cost. The interesting question is how rarely it can be used.</w:t>
      </w:r>
    </w:p>
    <w:p>
      <w:pPr>
        <w:spacing w:before="0" w:after="80" w:line="240" w:lineRule="auto"/>
        <w:ind w:firstLine="288"/>
        <w:jc w:val="both"/>
      </w:pPr>
      <w:r>
        <w:rPr>
          <w:rFonts w:ascii="Times New Roman" w:hAnsi="Times New Roman"/>
          <w:b w:val="0"/>
          <w:i w:val="0"/>
          <w:sz w:val="20"/>
        </w:rPr>
        <w:t>We assume the operator keeps the retained data and can identify the forget set for each request, that requests are processed in arrival order and in batches, and that a checkpoint can be stored before each round. We make no legal claim about whether model weights are themselves personal data, which is still debated. Article 17 requires erasure without undue delay [1], and that timing pressure is the reason cost matters here at all.</w:t>
      </w:r>
    </w:p>
    <w:p>
      <w:pPr>
        <w:keepNext/>
        <w:spacing w:before="240" w:after="80"/>
        <w:jc w:val="center"/>
      </w:pPr>
      <w:r>
        <w:rPr>
          <w:rFonts w:ascii="Times New Roman" w:hAnsi="Times New Roman"/>
          <w:b/>
          <w:i w:val="0"/>
          <w:sz w:val="20"/>
        </w:rPr>
        <w:t>IV. THE ASUC-SOM FRAMEWORK</w:t>
      </w:r>
    </w:p>
    <w:p>
      <w:pPr>
        <w:keepNext/>
        <w:spacing w:before="160" w:after="40"/>
        <w:jc w:val="left"/>
      </w:pPr>
      <w:r>
        <w:rPr>
          <w:rFonts w:ascii="Times New Roman" w:hAnsi="Times New Roman"/>
          <w:b/>
          <w:i/>
          <w:sz w:val="20"/>
        </w:rPr>
        <w:t>A. Overview</w:t>
      </w:r>
    </w:p>
    <w:p>
      <w:pPr>
        <w:spacing w:before="0" w:after="80" w:line="240" w:lineRule="auto"/>
        <w:ind w:firstLine="288"/>
        <w:jc w:val="both"/>
      </w:pPr>
      <w:r>
        <w:rPr>
          <w:rFonts w:ascii="Times New Roman" w:hAnsi="Times New Roman"/>
          <w:b w:val="0"/>
          <w:i w:val="0"/>
          <w:sz w:val="20"/>
        </w:rPr>
        <w:t>The system processes each deletion request through a closed-loop control pipeline. A profiler summarizes the request, SOM measures how it interacts with earlier edits, the router picks a primitive, the primitive is applied, and the verification gate decides whether the result may leave the system. Failure sends the request back to the router one tier higher, after restoring the saved checkpoint.</w:t>
      </w:r>
    </w:p>
    <w:p>
      <w:pPr>
        <w:keepNext/>
        <w:spacing w:before="160" w:after="40"/>
        <w:jc w:val="left"/>
      </w:pPr>
      <w:r>
        <w:rPr>
          <w:rFonts w:ascii="Times New Roman" w:hAnsi="Times New Roman"/>
          <w:b/>
          <w:i/>
          <w:sz w:val="20"/>
        </w:rPr>
        <w:t>B. Request profiling</w:t>
      </w:r>
    </w:p>
    <w:p>
      <w:pPr>
        <w:spacing w:before="0" w:after="80" w:line="240" w:lineRule="auto"/>
        <w:ind w:firstLine="288"/>
        <w:jc w:val="both"/>
      </w:pPr>
      <w:r>
        <w:rPr>
          <w:rFonts w:ascii="Times New Roman" w:hAnsi="Times New Roman"/>
          <w:b w:val="0"/>
          <w:i w:val="0"/>
          <w:sz w:val="20"/>
        </w:rPr>
        <w:t>The profiler records two numbers. One is the cardinality n = |Df|. The other is the normalized class entropy of the forget set. If pc is the fraction of Df that belongs to class c, then</w:t>
      </w:r>
    </w:p>
    <w:p>
      <w:pPr>
        <w:spacing w:before="60" w:after="60"/>
        <w:ind w:firstLine="0"/>
        <w:jc w:val="right"/>
      </w:pPr>
      <w:r>
        <w:rPr>
          <w:rFonts w:ascii="Times New Roman" w:hAnsi="Times New Roman"/>
          <w:b w:val="0"/>
          <w:i/>
          <w:sz w:val="19"/>
        </w:rPr>
        <w:tab/>
        <w:t>h = − Σc pc log pc / log C  ∈ [0, 1]</w:t>
        <w:tab/>
        <w:t>(3)</w:t>
      </w:r>
    </w:p>
    <w:p>
      <w:pPr>
        <w:spacing w:before="0" w:after="80" w:line="240" w:lineRule="auto"/>
        <w:ind w:firstLine="288"/>
        <w:jc w:val="both"/>
      </w:pPr>
      <w:r>
        <w:rPr>
          <w:rFonts w:ascii="Times New Roman" w:hAnsi="Times New Roman"/>
          <w:b w:val="0"/>
          <w:i w:val="0"/>
          <w:sz w:val="20"/>
        </w:rPr>
        <w:t>A value near 1 means the request is spread evenly across classes, which is typical of a handful of users deleting their own records. A value near 0 means it is concentrated, as when an entire category is withdrawn. Concentrated requests are harder because the dampening or fine-tuning has to act on features that the retained classes may share.</w:t>
      </w:r>
    </w:p>
    <w:p>
      <w:pPr>
        <w:keepNext/>
        <w:spacing w:before="160" w:after="40"/>
        <w:jc w:val="left"/>
      </w:pPr>
      <w:r>
        <w:rPr>
          <w:rFonts w:ascii="Times New Roman" w:hAnsi="Times New Roman"/>
          <w:b/>
          <w:i/>
          <w:sz w:val="20"/>
        </w:rPr>
        <w:t>C. Subspace Overlap Monitor</w:t>
      </w:r>
    </w:p>
    <w:p>
      <w:pPr>
        <w:spacing w:before="0" w:after="80" w:line="240" w:lineRule="auto"/>
        <w:ind w:firstLine="288"/>
        <w:jc w:val="both"/>
      </w:pPr>
      <w:r>
        <w:rPr>
          <w:rFonts w:ascii="Times New Roman" w:hAnsi="Times New Roman"/>
          <w:b w:val="0"/>
          <w:i w:val="0"/>
          <w:sz w:val="20"/>
        </w:rPr>
        <w:t>Scalar drift such as ‖θt − θ0‖ tells us how far the weights have moved, but not where. Two deletions can move the weights equally far, one into untouched directions and the other back into directions that previous deletions already disturbed. Only the second is a fatigue risk. SOM is designed to separate them.</w:t>
      </w:r>
    </w:p>
    <w:p>
      <w:pPr>
        <w:spacing w:before="0" w:after="80" w:line="240" w:lineRule="auto"/>
        <w:ind w:firstLine="288"/>
        <w:jc w:val="both"/>
      </w:pPr>
      <w:r>
        <w:rPr>
          <w:rFonts w:ascii="Times New Roman" w:hAnsi="Times New Roman"/>
          <w:b w:val="0"/>
          <w:i w:val="0"/>
          <w:sz w:val="20"/>
        </w:rPr>
        <w:t>SOM maintains a matrix Qk ∈ ℝd×k with orthonormal columns, spanning the parameter-space directions modified by earlier unlearning steps. When a new request produces a forget-loss gradient gt, the monitor reports</w:t>
      </w:r>
    </w:p>
    <w:p>
      <w:pPr>
        <w:spacing w:before="60" w:after="60"/>
        <w:ind w:firstLine="0"/>
        <w:jc w:val="right"/>
      </w:pPr>
      <w:r>
        <w:rPr>
          <w:rFonts w:ascii="Times New Roman" w:hAnsi="Times New Roman"/>
          <w:b w:val="0"/>
          <w:i/>
          <w:sz w:val="19"/>
        </w:rPr>
        <w:tab/>
        <w:t>SOM(gt, Qk) = ‖QkT gt‖2 / ‖gt‖2  ∈ [0, 1]</w:t>
        <w:tab/>
        <w:t>(4)</w:t>
      </w:r>
    </w:p>
    <w:p>
      <w:pPr>
        <w:spacing w:before="0" w:after="80" w:line="240" w:lineRule="auto"/>
        <w:ind w:firstLine="288"/>
        <w:jc w:val="both"/>
      </w:pPr>
      <w:r>
        <w:rPr>
          <w:rFonts w:ascii="Times New Roman" w:hAnsi="Times New Roman"/>
          <w:b w:val="0"/>
          <w:i w:val="0"/>
          <w:sz w:val="20"/>
        </w:rPr>
        <w:t>This is the cosine of the angle between gt and its projection onto the subspace, so its square is the fraction of gradient energy that lies inside the region already edited. A score near 0 says the request is pushing into fresh territory. A score near 1 says it will mostly hit weights that have already absorbed damage. Because it is computed from the gradient and not from the updated weights, the score is available before the update is applied, which is what lets the router act on it.</w:t>
      </w:r>
    </w:p>
    <w:p>
      <w:pPr>
        <w:spacing w:before="0" w:after="80" w:line="240" w:lineRule="auto"/>
        <w:ind w:firstLine="288"/>
        <w:jc w:val="both"/>
      </w:pPr>
      <w:r>
        <w:rPr>
          <w:rFonts w:ascii="Times New Roman" w:hAnsi="Times New Roman"/>
          <w:b w:val="0"/>
          <w:i w:val="0"/>
          <w:sz w:val="20"/>
        </w:rPr>
        <w:t>After each verified round, the realized change Δ = θt − θt−1 is folded into the basis. The component of Δ outside the current span is orthogonalized by Gram–Schmidt and appended as a new column. If the number of columns would exceed a rank cap kmax, we take a truncated SVD of the weighted basis together with Δ and keep the leading kmax directions. Scoring costs O(dk) and the update costs O(dk2), which is small next to a training epoch. For very large networks the same monitor can be run on a subset of layers or on a random projection of the gradient; we regard that as an implementation choice and do not evaluate it here.</w:t>
      </w:r>
    </w:p>
    <w:p>
      <w:pPr>
        <w:keepNext/>
        <w:spacing w:before="160" w:after="40"/>
        <w:jc w:val="left"/>
      </w:pPr>
      <w:r>
        <w:rPr>
          <w:rFonts w:ascii="Times New Roman" w:hAnsi="Times New Roman"/>
          <w:b/>
          <w:i/>
          <w:sz w:val="20"/>
        </w:rPr>
        <w:t>D. Tiered adaptive router</w:t>
      </w:r>
    </w:p>
    <w:p>
      <w:pPr>
        <w:spacing w:before="0" w:after="80" w:line="240" w:lineRule="auto"/>
        <w:ind w:firstLine="288"/>
        <w:jc w:val="both"/>
      </w:pPr>
      <w:r>
        <w:rPr>
          <w:rFonts w:ascii="Times New Roman" w:hAnsi="Times New Roman"/>
          <w:b w:val="0"/>
          <w:i w:val="0"/>
          <w:sz w:val="20"/>
        </w:rPr>
        <w:t>The router (ASUC) maps the pair (s, h) to a tier, where s is the SOM score from (4). With default thresholds τl = 0.40, τh = 0.80 and τH = 0.40, the rule is</w:t>
      </w:r>
    </w:p>
    <w:p>
      <w:pPr>
        <w:spacing w:before="60" w:after="60"/>
        <w:ind w:firstLine="0"/>
        <w:jc w:val="right"/>
      </w:pPr>
      <w:r>
        <w:rPr>
          <w:rFonts w:ascii="Times New Roman" w:hAnsi="Times New Roman"/>
          <w:b w:val="0"/>
          <w:i/>
          <w:sz w:val="19"/>
        </w:rPr>
        <w:tab/>
        <w:t>a = 3 if s ≥ τh;   2 if τl ≤ s &lt; τh or h &lt; τH;   1 otherwise</w:t>
        <w:tab/>
        <w:t>(5)</w:t>
      </w:r>
    </w:p>
    <w:p>
      <w:pPr>
        <w:spacing w:before="0" w:after="80" w:line="240" w:lineRule="auto"/>
        <w:ind w:firstLine="288"/>
        <w:jc w:val="both"/>
      </w:pPr>
      <w:r>
        <w:rPr>
          <w:rFonts w:ascii="Times New Roman" w:hAnsi="Times New Roman"/>
          <w:b w:val="0"/>
          <w:i w:val="0"/>
          <w:sz w:val="20"/>
        </w:rPr>
        <w:t>The conditions are checked in that order. Table I lists each tier together with its speedup relative to exact retraining.</w:t>
      </w:r>
    </w:p>
    <w:p>
      <w:pPr>
        <w:spacing w:before="120" w:after="40"/>
        <w:jc w:val="center"/>
      </w:pPr>
      <w:r>
        <w:rPr>
          <w:rFonts w:ascii="Times New Roman" w:hAnsi="Times New Roman"/>
          <w:b/>
          <w:i w:val="0"/>
          <w:sz w:val="18"/>
        </w:rPr>
        <w:t>TABLE I</w:t>
        <w:br/>
        <w:t>ROUTING POLICY</w:t>
      </w:r>
    </w:p>
    <w:tbl>
      <w:tblPr>
        <w:tblW w:type="auto" w:w="0"/>
        <w:jc w:val="center"/>
        <w:tblLook w:firstColumn="1" w:firstRow="1" w:lastColumn="0" w:lastRow="0" w:noHBand="0" w:noVBand="1" w:val="04A0"/>
      </w:tblPr>
      <w:tblGrid>
        <w:gridCol w:w="2610"/>
        <w:gridCol w:w="2610"/>
        <w:gridCol w:w="2610"/>
        <w:gridCol w:w="2610"/>
      </w:tblGrid>
      <w:tr>
        <w:tc>
          <w:tcPr>
            <w:tcW w:type="dxa" w:w="2610"/>
            <w:tcBorders>
              <w:top w:val="single" w:color="000000" w:sz="4"/>
              <w:bottom w:val="single" w:color="000000" w:sz="4"/>
            </w:tcBorders>
          </w:tcPr>
          <w:p>
            <w:pPr>
              <w:spacing w:before="40" w:after="40"/>
              <w:jc w:val="center"/>
            </w:pPr>
            <w:r>
              <w:rPr>
                <w:rFonts w:ascii="Times New Roman" w:hAnsi="Times New Roman"/>
                <w:b/>
                <w:i w:val="0"/>
                <w:sz w:val="17"/>
              </w:rPr>
              <w:t>Tier</w:t>
            </w:r>
          </w:p>
        </w:tc>
        <w:tc>
          <w:tcPr>
            <w:tcW w:type="dxa" w:w="2610"/>
            <w:tcBorders>
              <w:top w:val="single" w:color="000000" w:sz="4"/>
              <w:bottom w:val="single" w:color="000000" w:sz="4"/>
            </w:tcBorders>
          </w:tcPr>
          <w:p>
            <w:pPr>
              <w:spacing w:before="40" w:after="40"/>
              <w:jc w:val="center"/>
            </w:pPr>
            <w:r>
              <w:rPr>
                <w:rFonts w:ascii="Times New Roman" w:hAnsi="Times New Roman"/>
                <w:b/>
                <w:i w:val="0"/>
                <w:sz w:val="17"/>
              </w:rPr>
              <w:t>Trigger</w:t>
            </w:r>
          </w:p>
        </w:tc>
        <w:tc>
          <w:tcPr>
            <w:tcW w:type="dxa" w:w="2610"/>
            <w:tcBorders>
              <w:top w:val="single" w:color="000000" w:sz="4"/>
              <w:bottom w:val="single" w:color="000000" w:sz="4"/>
            </w:tcBorders>
          </w:tcPr>
          <w:p>
            <w:pPr>
              <w:spacing w:before="40" w:after="40"/>
              <w:jc w:val="center"/>
            </w:pPr>
            <w:r>
              <w:rPr>
                <w:rFonts w:ascii="Times New Roman" w:hAnsi="Times New Roman"/>
                <w:b/>
                <w:i w:val="0"/>
                <w:sz w:val="17"/>
              </w:rPr>
              <w:t>Primitive</w:t>
            </w:r>
          </w:p>
        </w:tc>
        <w:tc>
          <w:tcPr>
            <w:tcW w:type="dxa" w:w="2610"/>
            <w:tcBorders>
              <w:top w:val="single" w:color="000000" w:sz="4"/>
              <w:bottom w:val="single" w:color="000000" w:sz="4"/>
            </w:tcBorders>
          </w:tcPr>
          <w:p>
            <w:pPr>
              <w:spacing w:before="40" w:after="40"/>
              <w:jc w:val="center"/>
            </w:pPr>
            <w:r>
              <w:rPr>
                <w:rFonts w:ascii="Times New Roman" w:hAnsi="Times New Roman"/>
                <w:b/>
                <w:i w:val="0"/>
                <w:sz w:val="17"/>
              </w:rPr>
              <w:t>Speedup</w:t>
            </w:r>
          </w:p>
        </w:tc>
      </w:tr>
      <w:tr>
        <w:tc>
          <w:tcPr>
            <w:tcW w:type="dxa" w:w="2610"/>
            <w:tcBorders>
              <w:top w:val="single" w:color="000000" w:sz="4"/>
              <w:bottom w:val="single" w:color="000000" w:sz="4"/>
            </w:tcBorders>
          </w:tcPr>
          <w:p>
            <w:pPr>
              <w:spacing w:before="40" w:after="40"/>
              <w:jc w:val="center"/>
            </w:pPr>
            <w:r>
              <w:rPr>
                <w:rFonts w:ascii="Times New Roman" w:hAnsi="Times New Roman"/>
                <w:b w:val="0"/>
                <w:i w:val="0"/>
                <w:sz w:val="17"/>
              </w:rPr>
              <w:t>1</w:t>
            </w:r>
          </w:p>
        </w:tc>
        <w:tc>
          <w:tcPr>
            <w:tcW w:type="dxa" w:w="2610"/>
            <w:tcBorders>
              <w:top w:val="single" w:color="000000" w:sz="4"/>
              <w:bottom w:val="single" w:color="000000" w:sz="4"/>
            </w:tcBorders>
          </w:tcPr>
          <w:p>
            <w:pPr>
              <w:spacing w:before="40" w:after="40"/>
              <w:jc w:val="center"/>
            </w:pPr>
            <w:r>
              <w:rPr>
                <w:rFonts w:ascii="Times New Roman" w:hAnsi="Times New Roman"/>
                <w:b w:val="0"/>
                <w:i w:val="0"/>
                <w:sz w:val="17"/>
              </w:rPr>
              <w:t>s &lt; 0.40 and h ≥ 0.40</w:t>
            </w:r>
          </w:p>
        </w:tc>
        <w:tc>
          <w:tcPr>
            <w:tcW w:type="dxa" w:w="2610"/>
            <w:tcBorders>
              <w:top w:val="single" w:color="000000" w:sz="4"/>
              <w:bottom w:val="single" w:color="000000" w:sz="4"/>
            </w:tcBorders>
          </w:tcPr>
          <w:p>
            <w:pPr>
              <w:spacing w:before="40" w:after="40"/>
              <w:jc w:val="center"/>
            </w:pPr>
            <w:r>
              <w:rPr>
                <w:rFonts w:ascii="Times New Roman" w:hAnsi="Times New Roman"/>
                <w:b w:val="0"/>
                <w:i w:val="0"/>
                <w:sz w:val="17"/>
              </w:rPr>
              <w:t>SSD [4]</w:t>
            </w:r>
          </w:p>
        </w:tc>
        <w:tc>
          <w:tcPr>
            <w:tcW w:type="dxa" w:w="2610"/>
            <w:tcBorders>
              <w:top w:val="single" w:color="000000" w:sz="4"/>
              <w:bottom w:val="single" w:color="000000" w:sz="4"/>
            </w:tcBorders>
          </w:tcPr>
          <w:p>
            <w:pPr>
              <w:spacing w:before="40" w:after="40"/>
              <w:jc w:val="center"/>
            </w:pPr>
            <w:r>
              <w:rPr>
                <w:rFonts w:ascii="Times New Roman" w:hAnsi="Times New Roman"/>
                <w:b w:val="0"/>
                <w:i w:val="0"/>
                <w:sz w:val="17"/>
              </w:rPr>
              <w:t>≈150×</w:t>
            </w:r>
          </w:p>
        </w:tc>
      </w:tr>
      <w:tr>
        <w:tc>
          <w:tcPr>
            <w:tcW w:type="dxa" w:w="2610"/>
            <w:tcBorders>
              <w:top w:val="single" w:color="000000" w:sz="4"/>
              <w:bottom w:val="single" w:color="000000" w:sz="4"/>
            </w:tcBorders>
          </w:tcPr>
          <w:p>
            <w:pPr>
              <w:spacing w:before="40" w:after="40"/>
              <w:jc w:val="center"/>
            </w:pPr>
            <w:r>
              <w:rPr>
                <w:rFonts w:ascii="Times New Roman" w:hAnsi="Times New Roman"/>
                <w:b w:val="0"/>
                <w:i w:val="0"/>
                <w:sz w:val="17"/>
              </w:rPr>
              <w:t>2</w:t>
            </w:r>
          </w:p>
        </w:tc>
        <w:tc>
          <w:tcPr>
            <w:tcW w:type="dxa" w:w="2610"/>
            <w:tcBorders>
              <w:top w:val="single" w:color="000000" w:sz="4"/>
              <w:bottom w:val="single" w:color="000000" w:sz="4"/>
            </w:tcBorders>
          </w:tcPr>
          <w:p>
            <w:pPr>
              <w:spacing w:before="40" w:after="40"/>
              <w:jc w:val="center"/>
            </w:pPr>
            <w:r>
              <w:rPr>
                <w:rFonts w:ascii="Times New Roman" w:hAnsi="Times New Roman"/>
                <w:b w:val="0"/>
                <w:i w:val="0"/>
                <w:sz w:val="17"/>
              </w:rPr>
              <w:t>0.40 ≤ s &lt; 0.80, or h &lt; 0.40</w:t>
            </w:r>
          </w:p>
        </w:tc>
        <w:tc>
          <w:tcPr>
            <w:tcW w:type="dxa" w:w="2610"/>
            <w:tcBorders>
              <w:top w:val="single" w:color="000000" w:sz="4"/>
              <w:bottom w:val="single" w:color="000000" w:sz="4"/>
            </w:tcBorders>
          </w:tcPr>
          <w:p>
            <w:pPr>
              <w:spacing w:before="40" w:after="40"/>
              <w:jc w:val="center"/>
            </w:pPr>
            <w:r>
              <w:rPr>
                <w:rFonts w:ascii="Times New Roman" w:hAnsi="Times New Roman"/>
                <w:b w:val="0"/>
                <w:i w:val="0"/>
                <w:sz w:val="17"/>
              </w:rPr>
              <w:t>SalUn + retain loss [5]</w:t>
            </w:r>
          </w:p>
        </w:tc>
        <w:tc>
          <w:tcPr>
            <w:tcW w:type="dxa" w:w="2610"/>
            <w:tcBorders>
              <w:top w:val="single" w:color="000000" w:sz="4"/>
              <w:bottom w:val="single" w:color="000000" w:sz="4"/>
            </w:tcBorders>
          </w:tcPr>
          <w:p>
            <w:pPr>
              <w:spacing w:before="40" w:after="40"/>
              <w:jc w:val="center"/>
            </w:pPr>
            <w:r>
              <w:rPr>
                <w:rFonts w:ascii="Times New Roman" w:hAnsi="Times New Roman"/>
                <w:b w:val="0"/>
                <w:i w:val="0"/>
                <w:sz w:val="17"/>
              </w:rPr>
              <w:t>≈115×</w:t>
            </w:r>
          </w:p>
        </w:tc>
      </w:tr>
      <w:tr>
        <w:tc>
          <w:tcPr>
            <w:tcW w:type="dxa" w:w="2610"/>
            <w:tcBorders>
              <w:top w:val="single" w:color="000000" w:sz="4"/>
              <w:bottom w:val="single" w:color="000000" w:sz="4"/>
            </w:tcBorders>
          </w:tcPr>
          <w:p>
            <w:pPr>
              <w:spacing w:before="40" w:after="40"/>
              <w:jc w:val="center"/>
            </w:pPr>
            <w:r>
              <w:rPr>
                <w:rFonts w:ascii="Times New Roman" w:hAnsi="Times New Roman"/>
                <w:b w:val="0"/>
                <w:i w:val="0"/>
                <w:sz w:val="17"/>
              </w:rPr>
              <w:t>3</w:t>
            </w:r>
          </w:p>
        </w:tc>
        <w:tc>
          <w:tcPr>
            <w:tcW w:type="dxa" w:w="2610"/>
            <w:tcBorders>
              <w:top w:val="single" w:color="000000" w:sz="4"/>
              <w:bottom w:val="single" w:color="000000" w:sz="4"/>
            </w:tcBorders>
          </w:tcPr>
          <w:p>
            <w:pPr>
              <w:spacing w:before="40" w:after="40"/>
              <w:jc w:val="center"/>
            </w:pPr>
            <w:r>
              <w:rPr>
                <w:rFonts w:ascii="Times New Roman" w:hAnsi="Times New Roman"/>
                <w:b w:val="0"/>
                <w:i w:val="0"/>
                <w:sz w:val="17"/>
              </w:rPr>
              <w:t>s ≥ 0.80, or escalation</w:t>
            </w:r>
          </w:p>
        </w:tc>
        <w:tc>
          <w:tcPr>
            <w:tcW w:type="dxa" w:w="2610"/>
            <w:tcBorders>
              <w:top w:val="single" w:color="000000" w:sz="4"/>
              <w:bottom w:val="single" w:color="000000" w:sz="4"/>
            </w:tcBorders>
          </w:tcPr>
          <w:p>
            <w:pPr>
              <w:spacing w:before="40" w:after="40"/>
              <w:jc w:val="center"/>
            </w:pPr>
            <w:r>
              <w:rPr>
                <w:rFonts w:ascii="Times New Roman" w:hAnsi="Times New Roman"/>
                <w:b w:val="0"/>
                <w:i w:val="0"/>
                <w:sz w:val="17"/>
              </w:rPr>
              <w:t>Exact retraining</w:t>
            </w:r>
          </w:p>
        </w:tc>
        <w:tc>
          <w:tcPr>
            <w:tcW w:type="dxa" w:w="2610"/>
            <w:tcBorders>
              <w:top w:val="single" w:color="000000" w:sz="4"/>
              <w:bottom w:val="single" w:color="000000" w:sz="4"/>
            </w:tcBorders>
          </w:tcPr>
          <w:p>
            <w:pPr>
              <w:spacing w:before="40" w:after="40"/>
              <w:jc w:val="center"/>
            </w:pPr>
            <w:r>
              <w:rPr>
                <w:rFonts w:ascii="Times New Roman" w:hAnsi="Times New Roman"/>
                <w:b w:val="0"/>
                <w:i w:val="0"/>
                <w:sz w:val="17"/>
              </w:rPr>
              <w:t>1×</w:t>
            </w:r>
          </w:p>
        </w:tc>
      </w:tr>
    </w:tbl>
    <w:p>
      <w:pPr>
        <w:spacing w:before="0" w:after="80" w:line="240" w:lineRule="auto"/>
        <w:ind w:firstLine="288"/>
        <w:jc w:val="both"/>
      </w:pPr>
      <w:r>
        <w:rPr>
          <w:rFonts w:ascii="Times New Roman" w:hAnsi="Times New Roman"/>
          <w:b w:val="0"/>
          <w:i w:val="0"/>
          <w:sz w:val="20"/>
        </w:rPr>
        <w:t>Tier 1 is for the easy case: a balanced request that avoids previously edited directions. SSD needs no gradient steps and is the cheapest option. Tier 2 handles the middle ground. When the request overlaps earlier edits, or is concentrated on a few classes, we use SalUn with an added retain-loss term so that the update is anchored to the data we want to keep. Tier 3 is reserved for the case where the SOM score says that a fast update would damage weights that are already compromised. There, exact retraining on Dr(t) is the only option that does not trade away utility.</w:t>
      </w:r>
    </w:p>
    <w:p>
      <w:pPr>
        <w:spacing w:before="0" w:after="80" w:line="240" w:lineRule="auto"/>
        <w:ind w:firstLine="288"/>
        <w:jc w:val="both"/>
      </w:pPr>
      <w:r>
        <w:rPr>
          <w:rFonts w:ascii="Times New Roman" w:hAnsi="Times New Roman"/>
          <w:b w:val="0"/>
          <w:i w:val="0"/>
          <w:sz w:val="20"/>
        </w:rPr>
        <w:t>The thresholds are easier to interpret in terms of energy. Because SOM is a cosine, the squared score is the share of the gradient lying in the edited subspace. At s = 0.40 that share is 16%, and at s = 0.80 it is 64%. So Tier 1 is used while fewer than about one-sixth of the gradient’s energy overlaps earlier edits, and Tier 3 is chosen once nearly two-thirds of it does. These cut-offs are design defaults and we treat their sensitivity as an experimental question (Section V), not a settled one.</w:t>
      </w:r>
    </w:p>
    <w:p>
      <w:pPr>
        <w:spacing w:before="0" w:after="80" w:line="240" w:lineRule="auto"/>
        <w:ind w:firstLine="288"/>
        <w:jc w:val="both"/>
      </w:pPr>
      <w:r>
        <w:rPr>
          <w:rFonts w:ascii="Times New Roman" w:hAnsi="Times New Roman"/>
          <w:b w:val="0"/>
          <w:i w:val="0"/>
          <w:sz w:val="20"/>
        </w:rPr>
        <w:t>We chose SSD and SalUn as the fast tiers because they sit at opposite ends of the cost and care spectrum. SSD changes weights in one pass by dampening, which makes it extremely cheap but gives it nothing to lean on when the forget set overlaps heavily with retained knowledge. SalUn takes gradient steps, so it can include a retain-loss term and is slower, but it protects utility better under overlap. The router is agnostic to these particular choices; any primitive could be slotted into a tier, provided its cost and behaviour under overlap are known.</w:t>
      </w:r>
    </w:p>
    <w:p>
      <w:pPr>
        <w:keepNext/>
        <w:spacing w:before="160" w:after="40"/>
        <w:jc w:val="left"/>
      </w:pPr>
      <w:r>
        <w:rPr>
          <w:rFonts w:ascii="Times New Roman" w:hAnsi="Times New Roman"/>
          <w:b/>
          <w:i/>
          <w:sz w:val="20"/>
        </w:rPr>
        <w:t>E. Closed-loop verification and rollback</w:t>
      </w:r>
    </w:p>
    <w:p>
      <w:pPr>
        <w:spacing w:before="0" w:after="80" w:line="240" w:lineRule="auto"/>
        <w:ind w:firstLine="288"/>
        <w:jc w:val="both"/>
      </w:pPr>
      <w:r>
        <w:rPr>
          <w:rFonts w:ascii="Times New Roman" w:hAnsi="Times New Roman"/>
          <w:b w:val="0"/>
          <w:i w:val="0"/>
          <w:sz w:val="20"/>
        </w:rPr>
        <w:t>Before the model is released, three checks are run. (a) Forget-set accuracy must not exceed chance, 10% on CIFAR-10. (b) Retain-set accuracy must not fall by more than 3 percentage points relative to the checkpoint taken at the start of the round. (c) The area under the ROC curve of a membership-inference attack [9] against the forget samples must be close to 0.50. If any check fails, the controller restores the checkpoint, increments the tier, and tries again. A request that fails even at Tier 3 is not released and is flagged for human review. The extra cost is a few evaluation passes and one attack run per round, which is small beside the cost of any training-based tier.</w:t>
      </w:r>
    </w:p>
    <w:p>
      <w:pPr>
        <w:keepNext/>
        <w:spacing w:before="160" w:after="40"/>
        <w:jc w:val="left"/>
      </w:pPr>
      <w:r>
        <w:rPr>
          <w:rFonts w:ascii="Times New Roman" w:hAnsi="Times New Roman"/>
          <w:b/>
          <w:i/>
          <w:sz w:val="20"/>
        </w:rPr>
        <w:t>F. Audit trail</w:t>
      </w:r>
    </w:p>
    <w:p>
      <w:pPr>
        <w:spacing w:before="0" w:after="80" w:line="240" w:lineRule="auto"/>
        <w:ind w:firstLine="288"/>
        <w:jc w:val="both"/>
      </w:pPr>
      <w:r>
        <w:rPr>
          <w:rFonts w:ascii="Times New Roman" w:hAnsi="Times New Roman"/>
          <w:b w:val="0"/>
          <w:i w:val="0"/>
          <w:sz w:val="20"/>
        </w:rPr>
        <w:t>The deployment layer (ARIA) writes one record per request containing the request identifier, |Df|, h, the SOM score, the tier finally used, the number of escalations, the three verification measurements and a digest of the released checkpoint. Each record includes a timestamp and the hash of the preceding record, so that editing a past entry breaks the chain. A live view of the SOM trace and tier decisions is available to operators. We want to be clear about what these records are. They document that specific empirical checks were run and passed at a specific time. They are not a mathematical certificate of erasure.</w:t>
      </w:r>
    </w:p>
    <w:p>
      <w:pPr>
        <w:keepNext/>
        <w:spacing w:before="160" w:after="40"/>
        <w:jc w:val="left"/>
      </w:pPr>
      <w:r>
        <w:rPr>
          <w:rFonts w:ascii="Times New Roman" w:hAnsi="Times New Roman"/>
          <w:b/>
          <w:i/>
          <w:sz w:val="20"/>
        </w:rPr>
        <w:t>G. A worked routing example</w:t>
      </w:r>
    </w:p>
    <w:p>
      <w:pPr>
        <w:spacing w:before="0" w:after="80" w:line="240" w:lineRule="auto"/>
        <w:ind w:firstLine="288"/>
        <w:jc w:val="both"/>
      </w:pPr>
      <w:r>
        <w:rPr>
          <w:rFonts w:ascii="Times New Roman" w:hAnsi="Times New Roman"/>
          <w:b w:val="0"/>
          <w:i w:val="0"/>
          <w:sz w:val="20"/>
        </w:rPr>
        <w:t>The following sequence is illustrative and its numbers are invented to show the mechanics, not measured. Suppose the first request removes 50 random samples. The basis is empty, so s = 0, and the entropy is high, so the router picks Tier 1. SSD runs, the gate passes, and the update direction is stored in Q. A second small random request arrives and has s = 0.15; it also goes to Tier 1. The third request removes most of one class. Its entropy is low, so it goes to Tier 2 even though s = 0.30. Suppose SalUn leaves the retain accuracy 4 points lower, which exceeds the bound. The gate rejects the result, the checkpoint is restored, and the request is rerun at Tier 3. After the exact retrain the basis is cleared and the stream continues on a clean footing. No record is lost along the way: the audit entry for the third request would show one escalation and the final tier.</w:t>
      </w:r>
    </w:p>
    <w:p>
      <w:pPr>
        <w:keepNext/>
        <w:spacing w:before="160" w:after="40"/>
        <w:jc w:val="left"/>
      </w:pPr>
      <w:r>
        <w:rPr>
          <w:rFonts w:ascii="Times New Roman" w:hAnsi="Times New Roman"/>
          <w:b/>
          <w:i/>
          <w:sz w:val="20"/>
        </w:rPr>
        <w:t>H. Procedure</w:t>
      </w:r>
    </w:p>
    <w:p>
      <w:pPr>
        <w:spacing w:before="0" w:after="80" w:line="240" w:lineRule="auto"/>
        <w:ind w:firstLine="288"/>
        <w:jc w:val="both"/>
      </w:pPr>
      <w:r>
        <w:rPr>
          <w:rFonts w:ascii="Times New Roman" w:hAnsi="Times New Roman"/>
          <w:b w:val="0"/>
          <w:i w:val="0"/>
          <w:sz w:val="20"/>
        </w:rPr>
        <w:t>Algorithm 1 gives the complete procedure for one request. Note that after an exact retrain the accumulated edits are discarded, so the basis is cleared; after any other tier it is extended with the verified update.</w:t>
      </w:r>
    </w:p>
    <w:tbl>
      <w:tblPr>
        <w:tblW w:type="auto" w:w="0"/>
        <w:jc w:val="center"/>
        <w:tblLook w:firstColumn="1" w:firstRow="1" w:lastColumn="0" w:lastRow="0" w:noHBand="0" w:noVBand="1" w:val="04A0"/>
      </w:tblPr>
      <w:tblGrid>
        <w:gridCol w:w="10440"/>
      </w:tblGrid>
      <w:tr>
        <w:tc>
          <w:tcPr>
            <w:tcW w:type="dxa" w:w="10440"/>
            <w:tcBorders>
              <w:top w:val="single" w:color="000000" w:sz="6"/>
              <w:left w:val="none" w:color="auto" w:sz="4"/>
              <w:bottom w:val="single" w:color="000000" w:sz="6"/>
              <w:right w:val="none" w:color="auto" w:sz="4"/>
            </w:tcBorders>
          </w:tcPr>
          <w:p>
            <w:pPr>
              <w:spacing w:before="40" w:after="40" w:line="252" w:lineRule="auto"/>
            </w:pPr>
            <w:r>
              <w:rPr>
                <w:rFonts w:ascii="Courier New" w:hAnsi="Courier New"/>
                <w:b w:val="0"/>
                <w:i w:val="0"/>
                <w:sz w:val="17"/>
              </w:rPr>
              <w:t>Algorithm 1. ASUC-SOM, one deletion request</w:t>
              <w:br/>
              <w:t>Input: model θ, basis Q, forget set Df, retain data Dr</w:t>
              <w:br/>
              <w:t>Params: τl = 0.40, τh = 0.80, τH = 0.40</w:t>
              <w:br/>
              <w:t>1:  θprev ← θ   (checkpoint)</w:t>
              <w:br/>
              <w:t>2:  n ← |Df|;  h ← normalized class entropy of Df</w:t>
              <w:br/>
              <w:t>3:  g ← forget-loss gradient of θ on Df</w:t>
              <w:br/>
              <w:t>4:  s ← ‖QTg‖ / ‖g‖   (s ← 0 if Q is empty)</w:t>
              <w:br/>
              <w:t>5:  a ← Route(s, h)   ∈ {1, 2, 3}</w:t>
              <w:br/>
              <w:t>6:  repeat</w:t>
              <w:br/>
              <w:t>7:  θ ← Apply(a, θprev, Df, Dr)</w:t>
              <w:br/>
              <w:t>8:  if Verify(θ) passes then break</w:t>
              <w:br/>
              <w:t>9:  θ ← θprev;  a ← a + 1   (rollback, escalate)</w:t>
              <w:br/>
              <w:t>10: until a &gt; 3  (then flag for human review)</w:t>
              <w:br/>
              <w:t>11: Q ← UpdateBasis(Q, θ − θprev);  reset Q if a = 3</w:t>
              <w:br/>
              <w:t>12: append hash-chained audit record;  return θ, Q</w:t>
            </w:r>
          </w:p>
        </w:tc>
      </w:tr>
    </w:tbl>
    <w:p>
      <w:pPr>
        <w:keepNext/>
        <w:spacing w:before="240" w:after="80"/>
        <w:jc w:val="center"/>
      </w:pPr>
      <w:r>
        <w:rPr>
          <w:rFonts w:ascii="Times New Roman" w:hAnsi="Times New Roman"/>
          <w:b/>
          <w:i w:val="0"/>
          <w:sz w:val="20"/>
        </w:rPr>
        <w:t>V. EVALUATION DESIGN</w:t>
      </w:r>
    </w:p>
    <w:p>
      <w:pPr>
        <w:spacing w:before="0" w:after="80" w:line="240" w:lineRule="auto"/>
        <w:ind w:firstLine="288"/>
        <w:jc w:val="both"/>
      </w:pPr>
      <w:r>
        <w:rPr>
          <w:rFonts w:ascii="Times New Roman" w:hAnsi="Times New Roman"/>
          <w:b w:val="0"/>
          <w:i w:val="0"/>
          <w:sz w:val="20"/>
        </w:rPr>
        <w:t>Data and model. We use CIFAR-10 [11], which has C = 10 classes, with a ResNet-18 (11,173,962 parameters) trained to 93.44% test accuracy and 99.40% train retain accuracy. Request stream. Each experiment runs T = 20 sequential rounds. The stream mixes small balanced requests (for example 500 random samples per round across all classes in Workload A, totaling 10,000 deleted images) with class-concentrated ones (Workload B, 500 samples per class per round, H(c) = 0.0), and high-loss requests (Workload C), in a fixed pseudo-random order shared by all methods. Baselines. Gradient ascent, SSD and SalUn are each applied statically at every round, with identical hyper-parameters across rounds. Exact retraining is the reference for cost and for the ideal outcome.</w:t>
      </w:r>
    </w:p>
    <w:p>
      <w:pPr>
        <w:spacing w:before="0" w:after="80" w:line="240" w:lineRule="auto"/>
        <w:ind w:firstLine="288"/>
        <w:jc w:val="both"/>
      </w:pPr>
      <w:r>
        <w:rPr>
          <w:rFonts w:ascii="Times New Roman" w:hAnsi="Times New Roman"/>
          <w:b w:val="0"/>
          <w:i w:val="0"/>
          <w:sz w:val="20"/>
        </w:rPr>
        <w:t>Metrics. We report forget accuracy, retain accuracy, test accuracy and the membership-inference AUC after every round, plus wall-clock time and speedup relative to retraining. For the sequential setting we add two summary numbers: the number of rounds before retain accuracy falls to within 5 points of chance, and the tier histogram of the controller including how often escalation occurred. All results are averaged over 3 seeds. Training settings are SGD with momentum 0.9, weight decay 5e-4, initial learning rate 0.1 cosine-annealed over 200 epochs, and batch size 128.</w:t>
      </w:r>
    </w:p>
    <w:p>
      <w:pPr>
        <w:spacing w:before="0" w:after="80" w:line="240" w:lineRule="auto"/>
        <w:ind w:firstLine="288"/>
        <w:jc w:val="both"/>
      </w:pPr>
      <w:r>
        <w:rPr>
          <w:rFonts w:ascii="Times New Roman" w:hAnsi="Times New Roman"/>
          <w:b w:val="0"/>
          <w:i w:val="0"/>
          <w:sz w:val="20"/>
        </w:rPr>
        <w:t>Ablations and sensitivity. To see what each component contributes we remove them one at a time. Without SOM, the router uses only |Df| and h. Without the router, every request goes to a single tier. Without the gate, updates are released unchecked. We also sweep τl and τh over a grid around the defaults and report how the Tier 3 fraction and the final retain accuracy move. Finally, we compare SOM against a plain drift norm ‖θt − θ0‖ as the routing signal, which tests the claim in Section IV-C that direction matters and not only distance.</w:t>
      </w:r>
    </w:p>
    <w:p>
      <w:pPr>
        <w:spacing w:before="0" w:after="80" w:line="240" w:lineRule="auto"/>
        <w:ind w:firstLine="288"/>
        <w:jc w:val="both"/>
      </w:pPr>
      <w:r>
        <w:rPr>
          <w:rFonts w:ascii="Times New Roman" w:hAnsi="Times New Roman"/>
          <w:b w:val="0"/>
          <w:i w:val="0"/>
          <w:sz w:val="20"/>
        </w:rPr>
        <w:t>Reproducibility. Every run logs the request order, the seeds, the SOM score and tier for each round, and the verification measurements, so that any row of Table II can be traced back to a specific stream. Full code, dataset loaders, and raw logs are available at https://github.com/mithulkannan17/Adaptive-unlearning.</w:t>
      </w:r>
    </w:p>
    <w:p>
      <w:pPr>
        <w:keepNext/>
        <w:spacing w:before="240" w:after="80"/>
        <w:jc w:val="center"/>
      </w:pPr>
      <w:r>
        <w:rPr>
          <w:rFonts w:ascii="Times New Roman" w:hAnsi="Times New Roman"/>
          <w:b/>
          <w:i w:val="0"/>
          <w:sz w:val="20"/>
        </w:rPr>
        <w:t>VI. RESULTS AND DISCUSSION</w:t>
      </w:r>
    </w:p>
    <w:p>
      <w:pPr>
        <w:keepNext/>
        <w:spacing w:before="160" w:after="40"/>
        <w:jc w:val="left"/>
      </w:pPr>
      <w:r>
        <w:rPr>
          <w:rFonts w:ascii="Times New Roman" w:hAnsi="Times New Roman"/>
          <w:b/>
          <w:i/>
          <w:sz w:val="20"/>
        </w:rPr>
        <w:t>A. Cost</w:t>
      </w:r>
    </w:p>
    <w:p>
      <w:pPr>
        <w:spacing w:before="0" w:after="80" w:line="240" w:lineRule="auto"/>
        <w:ind w:firstLine="288"/>
        <w:jc w:val="both"/>
      </w:pPr>
      <w:r>
        <w:rPr>
          <w:rFonts w:ascii="Times New Roman" w:hAnsi="Times New Roman"/>
          <w:b w:val="0"/>
          <w:i w:val="0"/>
          <w:sz w:val="20"/>
        </w:rPr>
        <w:t>Against exact retraining, SSD (Tier 1) gives a speedup of about 150× and SalUn with retain regularization (Tier 2) about 115×. Tier 3 costs as much as retraining by definition, so the benefit of the controller over a stream depends on how often it is invoked. If f1, f2, f3 are the fractions of rounds that end at each tier, and we ignore verification overhead, the mean cost per round in units of one retraining is</w:t>
      </w:r>
    </w:p>
    <w:p>
      <w:pPr>
        <w:spacing w:before="60" w:after="60"/>
        <w:ind w:firstLine="0"/>
        <w:jc w:val="right"/>
      </w:pPr>
      <w:r>
        <w:rPr>
          <w:rFonts w:ascii="Times New Roman" w:hAnsi="Times New Roman"/>
          <w:b w:val="0"/>
          <w:i/>
          <w:sz w:val="19"/>
        </w:rPr>
        <w:tab/>
        <w:t>c̄ = f1/150 + f2/115 + f3,    speedup = 1/c̄</w:t>
        <w:tab/>
        <w:t>(6)</w:t>
      </w:r>
    </w:p>
    <w:p>
      <w:pPr>
        <w:spacing w:before="0" w:after="80" w:line="240" w:lineRule="auto"/>
        <w:ind w:firstLine="288"/>
        <w:jc w:val="both"/>
      </w:pPr>
      <w:r>
        <w:rPr>
          <w:rFonts w:ascii="Times New Roman" w:hAnsi="Times New Roman"/>
          <w:b w:val="0"/>
          <w:i w:val="0"/>
          <w:sz w:val="20"/>
        </w:rPr>
        <w:t>This is worth pausing on because it sets expectations honestly. If one round in twenty ends in a retrain (f3 = 0.05) and the rest are split between the fast tiers, the stream-level speedup is about 17×, not 100×. The Tier 3 fraction dominates the result. A good SOM is therefore one that is cautious enough to prevent collapse but not so cautious that it sends everything to retraining.</w:t>
      </w:r>
    </w:p>
    <w:p>
      <w:pPr>
        <w:keepNext/>
        <w:spacing w:before="160" w:after="40"/>
        <w:jc w:val="left"/>
      </w:pPr>
      <w:r>
        <w:rPr>
          <w:rFonts w:ascii="Times New Roman" w:hAnsi="Times New Roman"/>
          <w:b/>
          <w:i/>
          <w:sz w:val="20"/>
        </w:rPr>
        <w:t>B. Behaviour over a request stream</w:t>
      </w:r>
    </w:p>
    <w:p>
      <w:pPr>
        <w:spacing w:before="0" w:after="80" w:line="240" w:lineRule="auto"/>
        <w:ind w:firstLine="288"/>
        <w:jc w:val="both"/>
      </w:pPr>
      <w:r>
        <w:rPr>
          <w:rFonts w:ascii="Times New Roman" w:hAnsi="Times New Roman"/>
          <w:b w:val="0"/>
          <w:i w:val="0"/>
          <w:sz w:val="20"/>
        </w:rPr>
        <w:t>The central comparison is in Table II. Static baselines follow the pattern described in Section I: static SSD collapses catastrophically by Round 3 (dropping from 99.53% retain accuracy to 49.42% at Round 2 and collapsing to 9.96% at Round 3). Gradient Ascent fails to forget (99.80% forget accuracy). In contrast, ASUC-SOM sustains 97.19% retain accuracy and 90.89% test accuracy across all 20 rounds, verifying that closed-loop dynamic tier routing prevents catastrophic representational collapse.</w:t>
      </w:r>
    </w:p>
    <w:p>
      <w:pPr>
        <w:spacing w:before="120" w:after="40"/>
        <w:jc w:val="center"/>
      </w:pPr>
      <w:r>
        <w:rPr>
          <w:rFonts w:ascii="Times New Roman" w:hAnsi="Times New Roman"/>
          <w:b/>
          <w:i w:val="0"/>
          <w:sz w:val="18"/>
        </w:rPr>
        <w:t>TABLE II</w:t>
        <w:br/>
        <w:t>SEQUENTIAL UNLEARNING, T = 20 ROUNDS (WORKLOAD A)</w:t>
      </w:r>
    </w:p>
    <w:tbl>
      <w:tblPr>
        <w:tblW w:type="auto" w:w="0"/>
        <w:jc w:val="center"/>
        <w:tblLook w:firstColumn="1" w:firstRow="1" w:lastColumn="0" w:lastRow="0" w:noHBand="0" w:noVBand="1" w:val="04A0"/>
      </w:tblPr>
      <w:tblGrid>
        <w:gridCol w:w="1740"/>
        <w:gridCol w:w="1740"/>
        <w:gridCol w:w="1740"/>
        <w:gridCol w:w="1740"/>
        <w:gridCol w:w="1740"/>
        <w:gridCol w:w="1740"/>
      </w:tblGrid>
      <w:tr>
        <w:tc>
          <w:tcPr>
            <w:tcW w:type="dxa" w:w="1740"/>
            <w:tcBorders>
              <w:top w:val="single" w:color="000000" w:sz="4"/>
              <w:bottom w:val="single" w:color="000000" w:sz="4"/>
            </w:tcBorders>
          </w:tcPr>
          <w:p>
            <w:pPr>
              <w:spacing w:before="40" w:after="40"/>
              <w:jc w:val="center"/>
            </w:pPr>
            <w:r>
              <w:rPr>
                <w:rFonts w:ascii="Times New Roman" w:hAnsi="Times New Roman"/>
                <w:b/>
                <w:i w:val="0"/>
                <w:sz w:val="17"/>
              </w:rPr>
              <w:t>Method</w:t>
            </w:r>
          </w:p>
        </w:tc>
        <w:tc>
          <w:tcPr>
            <w:tcW w:type="dxa" w:w="1740"/>
            <w:tcBorders>
              <w:top w:val="single" w:color="000000" w:sz="4"/>
              <w:bottom w:val="single" w:color="000000" w:sz="4"/>
            </w:tcBorders>
          </w:tcPr>
          <w:p>
            <w:pPr>
              <w:spacing w:before="40" w:after="40"/>
              <w:jc w:val="center"/>
            </w:pPr>
            <w:r>
              <w:rPr>
                <w:rFonts w:ascii="Times New Roman" w:hAnsi="Times New Roman"/>
                <w:b/>
                <w:i w:val="0"/>
                <w:sz w:val="17"/>
              </w:rPr>
              <w:t>Rounds to collapse</w:t>
            </w:r>
          </w:p>
        </w:tc>
        <w:tc>
          <w:tcPr>
            <w:tcW w:type="dxa" w:w="1740"/>
            <w:tcBorders>
              <w:top w:val="single" w:color="000000" w:sz="4"/>
              <w:bottom w:val="single" w:color="000000" w:sz="4"/>
            </w:tcBorders>
          </w:tcPr>
          <w:p>
            <w:pPr>
              <w:spacing w:before="40" w:after="40"/>
              <w:jc w:val="center"/>
            </w:pPr>
            <w:r>
              <w:rPr>
                <w:rFonts w:ascii="Times New Roman" w:hAnsi="Times New Roman"/>
                <w:b/>
                <w:i w:val="0"/>
                <w:sz w:val="17"/>
              </w:rPr>
              <w:t>Final retain acc.</w:t>
            </w:r>
          </w:p>
        </w:tc>
        <w:tc>
          <w:tcPr>
            <w:tcW w:type="dxa" w:w="1740"/>
            <w:tcBorders>
              <w:top w:val="single" w:color="000000" w:sz="4"/>
              <w:bottom w:val="single" w:color="000000" w:sz="4"/>
            </w:tcBorders>
          </w:tcPr>
          <w:p>
            <w:pPr>
              <w:spacing w:before="40" w:after="40"/>
              <w:jc w:val="center"/>
            </w:pPr>
            <w:r>
              <w:rPr>
                <w:rFonts w:ascii="Times New Roman" w:hAnsi="Times New Roman"/>
                <w:b/>
                <w:i w:val="0"/>
                <w:sz w:val="17"/>
              </w:rPr>
              <w:t>Forget acc.</w:t>
            </w:r>
          </w:p>
        </w:tc>
        <w:tc>
          <w:tcPr>
            <w:tcW w:type="dxa" w:w="1740"/>
            <w:tcBorders>
              <w:top w:val="single" w:color="000000" w:sz="4"/>
              <w:bottom w:val="single" w:color="000000" w:sz="4"/>
            </w:tcBorders>
          </w:tcPr>
          <w:p>
            <w:pPr>
              <w:spacing w:before="40" w:after="40"/>
              <w:jc w:val="center"/>
            </w:pPr>
            <w:r>
              <w:rPr>
                <w:rFonts w:ascii="Times New Roman" w:hAnsi="Times New Roman"/>
                <w:b/>
                <w:i w:val="0"/>
                <w:sz w:val="17"/>
              </w:rPr>
              <w:t>MIA AUC</w:t>
            </w:r>
          </w:p>
        </w:tc>
        <w:tc>
          <w:tcPr>
            <w:tcW w:type="dxa" w:w="1740"/>
            <w:tcBorders>
              <w:top w:val="single" w:color="000000" w:sz="4"/>
              <w:bottom w:val="single" w:color="000000" w:sz="4"/>
            </w:tcBorders>
          </w:tcPr>
          <w:p>
            <w:pPr>
              <w:spacing w:before="40" w:after="40"/>
              <w:jc w:val="center"/>
            </w:pPr>
            <w:r>
              <w:rPr>
                <w:rFonts w:ascii="Times New Roman" w:hAnsi="Times New Roman"/>
                <w:b/>
                <w:i w:val="0"/>
                <w:sz w:val="17"/>
              </w:rPr>
              <w:t>Total time</w:t>
            </w:r>
          </w:p>
        </w:tc>
      </w:tr>
      <w:tr>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GA</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None (Failed to forget)</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99.47%</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99.80%</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0.998</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70.7 s</w:t>
            </w:r>
          </w:p>
        </w:tc>
      </w:tr>
      <w:tr>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SSD</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Round 3 (Collapse)</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9.96%</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10.00%</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0.500</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73.2 s</w:t>
            </w:r>
          </w:p>
        </w:tc>
      </w:tr>
      <w:tr>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SalUn</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None (&gt;20 Stable)</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95.03%</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10.40%</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0.538</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303.5 s</w:t>
            </w:r>
          </w:p>
        </w:tc>
      </w:tr>
      <w:tr>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Retrain</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99.10%</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9.20%</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0.512</w:t>
            </w:r>
          </w:p>
        </w:tc>
        <w:tc>
          <w:tcPr>
            <w:tcW w:type="dxa" w:w="1740"/>
            <w:tcBorders>
              <w:top w:val="single" w:color="000000" w:sz="4"/>
              <w:bottom w:val="single" w:color="000000" w:sz="4"/>
            </w:tcBorders>
          </w:tcPr>
          <w:p>
            <w:pPr>
              <w:spacing w:before="40" w:after="40"/>
              <w:jc w:val="center"/>
            </w:pPr>
            <w:r>
              <w:rPr>
                <w:rFonts w:ascii="Times New Roman" w:hAnsi="Times New Roman"/>
                <w:b w:val="0"/>
                <w:i w:val="0"/>
                <w:sz w:val="17"/>
              </w:rPr>
              <w:t>~21,100 s</w:t>
            </w:r>
          </w:p>
        </w:tc>
      </w:tr>
      <w:tr>
        <w:tc>
          <w:tcPr>
            <w:tcW w:type="dxa" w:w="1740"/>
            <w:tcBorders>
              <w:top w:val="single" w:color="000000" w:sz="4"/>
              <w:bottom w:val="single" w:color="000000" w:sz="4"/>
            </w:tcBorders>
          </w:tcPr>
          <w:p>
            <w:pPr>
              <w:spacing w:before="40" w:after="40"/>
              <w:jc w:val="center"/>
            </w:pPr>
            <w:r>
              <w:rPr>
                <w:rFonts w:ascii="Times New Roman" w:hAnsi="Times New Roman"/>
                <w:b/>
                <w:i w:val="0"/>
                <w:sz w:val="17"/>
              </w:rPr>
              <w:t>ASUC-SOM</w:t>
            </w:r>
          </w:p>
        </w:tc>
        <w:tc>
          <w:tcPr>
            <w:tcW w:type="dxa" w:w="1740"/>
            <w:tcBorders>
              <w:top w:val="single" w:color="000000" w:sz="4"/>
              <w:bottom w:val="single" w:color="000000" w:sz="4"/>
            </w:tcBorders>
          </w:tcPr>
          <w:p>
            <w:pPr>
              <w:spacing w:before="40" w:after="40"/>
              <w:jc w:val="center"/>
            </w:pPr>
            <w:r>
              <w:rPr>
                <w:rFonts w:ascii="Times New Roman" w:hAnsi="Times New Roman"/>
                <w:b/>
                <w:i w:val="0"/>
                <w:sz w:val="17"/>
              </w:rPr>
              <w:t>None (&gt;20 Stable)</w:t>
            </w:r>
          </w:p>
        </w:tc>
        <w:tc>
          <w:tcPr>
            <w:tcW w:type="dxa" w:w="1740"/>
            <w:tcBorders>
              <w:top w:val="single" w:color="000000" w:sz="4"/>
              <w:bottom w:val="single" w:color="000000" w:sz="4"/>
            </w:tcBorders>
          </w:tcPr>
          <w:p>
            <w:pPr>
              <w:spacing w:before="40" w:after="40"/>
              <w:jc w:val="center"/>
            </w:pPr>
            <w:r>
              <w:rPr>
                <w:rFonts w:ascii="Times New Roman" w:hAnsi="Times New Roman"/>
                <w:b/>
                <w:i w:val="0"/>
                <w:sz w:val="17"/>
              </w:rPr>
              <w:t>97.19%</w:t>
            </w:r>
          </w:p>
        </w:tc>
        <w:tc>
          <w:tcPr>
            <w:tcW w:type="dxa" w:w="1740"/>
            <w:tcBorders>
              <w:top w:val="single" w:color="000000" w:sz="4"/>
              <w:bottom w:val="single" w:color="000000" w:sz="4"/>
            </w:tcBorders>
          </w:tcPr>
          <w:p>
            <w:pPr>
              <w:spacing w:before="40" w:after="40"/>
              <w:jc w:val="center"/>
            </w:pPr>
            <w:r>
              <w:rPr>
                <w:rFonts w:ascii="Times New Roman" w:hAnsi="Times New Roman"/>
                <w:b/>
                <w:i w:val="0"/>
                <w:sz w:val="17"/>
              </w:rPr>
              <w:t>10.20%</w:t>
            </w:r>
          </w:p>
        </w:tc>
        <w:tc>
          <w:tcPr>
            <w:tcW w:type="dxa" w:w="1740"/>
            <w:tcBorders>
              <w:top w:val="single" w:color="000000" w:sz="4"/>
              <w:bottom w:val="single" w:color="000000" w:sz="4"/>
            </w:tcBorders>
          </w:tcPr>
          <w:p>
            <w:pPr>
              <w:spacing w:before="40" w:after="40"/>
              <w:jc w:val="center"/>
            </w:pPr>
            <w:r>
              <w:rPr>
                <w:rFonts w:ascii="Times New Roman" w:hAnsi="Times New Roman"/>
                <w:b/>
                <w:i w:val="0"/>
                <w:sz w:val="17"/>
              </w:rPr>
              <w:t>0.546</w:t>
            </w:r>
          </w:p>
        </w:tc>
        <w:tc>
          <w:tcPr>
            <w:tcW w:type="dxa" w:w="1740"/>
            <w:tcBorders>
              <w:top w:val="single" w:color="000000" w:sz="4"/>
              <w:bottom w:val="single" w:color="000000" w:sz="4"/>
            </w:tcBorders>
          </w:tcPr>
          <w:p>
            <w:pPr>
              <w:spacing w:before="40" w:after="40"/>
              <w:jc w:val="center"/>
            </w:pPr>
            <w:r>
              <w:rPr>
                <w:rFonts w:ascii="Times New Roman" w:hAnsi="Times New Roman"/>
                <w:b/>
                <w:i w:val="0"/>
                <w:sz w:val="17"/>
              </w:rPr>
              <w:t>15,655.4 s*</w:t>
            </w:r>
          </w:p>
        </w:tc>
      </w:tr>
    </w:tbl>
    <w:p>
      <w:pPr>
        <w:spacing w:before="120" w:after="40"/>
        <w:ind w:firstLine="0"/>
        <w:jc w:val="center"/>
      </w:pPr>
      <w:r>
        <w:drawing>
          <wp:inline xmlns:a="http://schemas.openxmlformats.org/drawingml/2006/main" xmlns:pic="http://schemas.openxmlformats.org/drawingml/2006/picture">
            <wp:extent cx="2971800" cy="1161154"/>
            <wp:docPr id="1" name="Picture 1"/>
            <wp:cNvGraphicFramePr>
              <a:graphicFrameLocks noChangeAspect="1"/>
            </wp:cNvGraphicFramePr>
            <a:graphic>
              <a:graphicData uri="http://schemas.openxmlformats.org/drawingml/2006/picture">
                <pic:pic>
                  <pic:nvPicPr>
                    <pic:cNvPr id="0" name="fig1_sequential_accuracy.png"/>
                    <pic:cNvPicPr/>
                  </pic:nvPicPr>
                  <pic:blipFill>
                    <a:blip r:embed="rId9"/>
                    <a:stretch>
                      <a:fillRect/>
                    </a:stretch>
                  </pic:blipFill>
                  <pic:spPr>
                    <a:xfrm>
                      <a:off x="0" y="0"/>
                      <a:ext cx="2971800" cy="1161154"/>
                    </a:xfrm>
                    <a:prstGeom prst="rect"/>
                  </pic:spPr>
                </pic:pic>
              </a:graphicData>
            </a:graphic>
          </wp:inline>
        </w:drawing>
      </w:r>
    </w:p>
    <w:p>
      <w:pPr>
        <w:spacing w:before="0" w:after="120" w:line="240" w:lineRule="auto"/>
        <w:ind w:firstLine="0"/>
        <w:jc w:val="both"/>
      </w:pPr>
      <w:r>
        <w:rPr>
          <w:rFonts w:ascii="Times New Roman" w:hAnsi="Times New Roman"/>
          <w:b w:val="0"/>
          <w:i w:val="0"/>
          <w:sz w:val="16"/>
        </w:rPr>
        <w:t>Fig. 1. Sequential retain and test accuracy trajectories across 20 unlearning rounds on CIFAR-10 ResNet-18 (Workload A). Static SSD exhibits catastrophic representational collapse at Round 3, while ASUC-SOM sustains &gt;97% retain utility throughout all 20 rounds.</w:t>
      </w:r>
    </w:p>
    <w:p>
      <w:pPr>
        <w:spacing w:before="120" w:after="40"/>
        <w:ind w:firstLine="0"/>
        <w:jc w:val="center"/>
      </w:pPr>
      <w:r>
        <w:drawing>
          <wp:inline xmlns:a="http://schemas.openxmlformats.org/drawingml/2006/main" xmlns:pic="http://schemas.openxmlformats.org/drawingml/2006/picture">
            <wp:extent cx="2971800" cy="1171575"/>
            <wp:docPr id="2" name="Picture 2"/>
            <wp:cNvGraphicFramePr>
              <a:graphicFrameLocks noChangeAspect="1"/>
            </wp:cNvGraphicFramePr>
            <a:graphic>
              <a:graphicData uri="http://schemas.openxmlformats.org/drawingml/2006/picture">
                <pic:pic>
                  <pic:nvPicPr>
                    <pic:cNvPr id="0" name="fig2_som_dynamics_drift.png"/>
                    <pic:cNvPicPr/>
                  </pic:nvPicPr>
                  <pic:blipFill>
                    <a:blip r:embed="rId10"/>
                    <a:stretch>
                      <a:fillRect/>
                    </a:stretch>
                  </pic:blipFill>
                  <pic:spPr>
                    <a:xfrm>
                      <a:off x="0" y="0"/>
                      <a:ext cx="2971800" cy="1171575"/>
                    </a:xfrm>
                    <a:prstGeom prst="rect"/>
                  </pic:spPr>
                </pic:pic>
              </a:graphicData>
            </a:graphic>
          </wp:inline>
        </w:drawing>
      </w:r>
    </w:p>
    <w:p>
      <w:pPr>
        <w:spacing w:before="0" w:after="120" w:line="240" w:lineRule="auto"/>
        <w:ind w:firstLine="0"/>
        <w:jc w:val="both"/>
      </w:pPr>
      <w:r>
        <w:rPr>
          <w:rFonts w:ascii="Times New Roman" w:hAnsi="Times New Roman"/>
          <w:b w:val="0"/>
          <w:i w:val="0"/>
          <w:sz w:val="16"/>
        </w:rPr>
        <w:t>Fig. 2. Subspace Overlap Metric (SOM) trajectory and parameter drift ||Δθ|| over 20 rounds. Green (s &lt; 0.40), Amber (0.40 ≤ s &lt; 0.80), and Red (s ≥ 0.80) regions dictate dynamic tier dispatch.</w:t>
      </w:r>
    </w:p>
    <w:p>
      <w:pPr>
        <w:spacing w:before="0" w:after="80" w:line="240" w:lineRule="auto"/>
        <w:ind w:firstLine="288"/>
        <w:jc w:val="both"/>
      </w:pPr>
      <w:r>
        <w:rPr>
          <w:rFonts w:ascii="Times New Roman" w:hAnsi="Times New Roman"/>
          <w:b w:val="0"/>
          <w:i w:val="0"/>
          <w:sz w:val="20"/>
        </w:rPr>
        <w:t>Table III summarizes the design differences that drive that outcome.</w:t>
      </w:r>
    </w:p>
    <w:p>
      <w:pPr>
        <w:spacing w:before="120" w:after="40"/>
        <w:jc w:val="center"/>
      </w:pPr>
      <w:r>
        <w:rPr>
          <w:rFonts w:ascii="Times New Roman" w:hAnsi="Times New Roman"/>
          <w:b/>
          <w:i w:val="0"/>
          <w:sz w:val="18"/>
        </w:rPr>
        <w:t>TABLE III</w:t>
        <w:br/>
        <w:t>DESIGN COMPARISON</w:t>
      </w:r>
    </w:p>
    <w:tbl>
      <w:tblPr>
        <w:tblW w:type="auto" w:w="0"/>
        <w:jc w:val="center"/>
        <w:tblLook w:firstColumn="1" w:firstRow="1" w:lastColumn="0" w:lastRow="0" w:noHBand="0" w:noVBand="1" w:val="04A0"/>
      </w:tblPr>
      <w:tblGrid>
        <w:gridCol w:w="3480"/>
        <w:gridCol w:w="3480"/>
        <w:gridCol w:w="3480"/>
      </w:tblGrid>
      <w:tr>
        <w:tc>
          <w:tcPr>
            <w:tcW w:type="dxa" w:w="3480"/>
            <w:tcBorders>
              <w:top w:val="single" w:color="000000" w:sz="4"/>
              <w:bottom w:val="single" w:color="000000" w:sz="4"/>
            </w:tcBorders>
          </w:tcPr>
          <w:p>
            <w:pPr>
              <w:spacing w:before="40" w:after="40"/>
              <w:jc w:val="center"/>
            </w:pPr>
            <w:r>
              <w:rPr>
                <w:rFonts w:ascii="Times New Roman" w:hAnsi="Times New Roman"/>
                <w:b/>
                <w:i w:val="0"/>
                <w:sz w:val="17"/>
              </w:rPr>
              <w:t>Dimension</w:t>
            </w:r>
          </w:p>
        </w:tc>
        <w:tc>
          <w:tcPr>
            <w:tcW w:type="dxa" w:w="3480"/>
            <w:tcBorders>
              <w:top w:val="single" w:color="000000" w:sz="4"/>
              <w:bottom w:val="single" w:color="000000" w:sz="4"/>
            </w:tcBorders>
          </w:tcPr>
          <w:p>
            <w:pPr>
              <w:spacing w:before="40" w:after="40"/>
              <w:jc w:val="left"/>
            </w:pPr>
            <w:r>
              <w:rPr>
                <w:rFonts w:ascii="Times New Roman" w:hAnsi="Times New Roman"/>
                <w:b/>
                <w:i w:val="0"/>
                <w:sz w:val="17"/>
              </w:rPr>
              <w:t>SSD / SalUn / GA</w:t>
            </w:r>
          </w:p>
        </w:tc>
        <w:tc>
          <w:tcPr>
            <w:tcW w:type="dxa" w:w="3480"/>
            <w:tcBorders>
              <w:top w:val="single" w:color="000000" w:sz="4"/>
              <w:bottom w:val="single" w:color="000000" w:sz="4"/>
            </w:tcBorders>
          </w:tcPr>
          <w:p>
            <w:pPr>
              <w:spacing w:before="40" w:after="40"/>
              <w:jc w:val="left"/>
            </w:pPr>
            <w:r>
              <w:rPr>
                <w:rFonts w:ascii="Times New Roman" w:hAnsi="Times New Roman"/>
                <w:b/>
                <w:i w:val="0"/>
                <w:sz w:val="17"/>
              </w:rPr>
              <w:t>ASUC-SOM</w:t>
            </w:r>
          </w:p>
        </w:tc>
      </w:tr>
      <w:tr>
        <w:tc>
          <w:tcPr>
            <w:tcW w:type="dxa" w:w="3480"/>
            <w:tcBorders>
              <w:top w:val="single" w:color="000000" w:sz="4"/>
              <w:bottom w:val="single" w:color="000000" w:sz="4"/>
            </w:tcBorders>
          </w:tcPr>
          <w:p>
            <w:pPr>
              <w:spacing w:before="40" w:after="40"/>
              <w:jc w:val="center"/>
            </w:pPr>
            <w:r>
              <w:rPr>
                <w:rFonts w:ascii="Times New Roman" w:hAnsi="Times New Roman"/>
                <w:b w:val="0"/>
                <w:i w:val="0"/>
                <w:sz w:val="17"/>
              </w:rPr>
              <w:t>Setting</w:t>
            </w:r>
          </w:p>
        </w:tc>
        <w:tc>
          <w:tcPr>
            <w:tcW w:type="dxa" w:w="3480"/>
            <w:tcBorders>
              <w:top w:val="single" w:color="000000" w:sz="4"/>
              <w:bottom w:val="single" w:color="000000" w:sz="4"/>
            </w:tcBorders>
          </w:tcPr>
          <w:p>
            <w:pPr>
              <w:spacing w:before="40" w:after="40"/>
              <w:jc w:val="left"/>
            </w:pPr>
            <w:r>
              <w:rPr>
                <w:rFonts w:ascii="Times New Roman" w:hAnsi="Times New Roman"/>
                <w:b w:val="0"/>
                <w:i w:val="0"/>
                <w:sz w:val="17"/>
              </w:rPr>
              <w:t>Single isolated request</w:t>
            </w:r>
          </w:p>
        </w:tc>
        <w:tc>
          <w:tcPr>
            <w:tcW w:type="dxa" w:w="3480"/>
            <w:tcBorders>
              <w:top w:val="single" w:color="000000" w:sz="4"/>
              <w:bottom w:val="single" w:color="000000" w:sz="4"/>
            </w:tcBorders>
          </w:tcPr>
          <w:p>
            <w:pPr>
              <w:spacing w:before="40" w:after="40"/>
              <w:jc w:val="left"/>
            </w:pPr>
            <w:r>
              <w:rPr>
                <w:rFonts w:ascii="Times New Roman" w:hAnsi="Times New Roman"/>
                <w:b w:val="0"/>
                <w:i w:val="0"/>
                <w:sz w:val="17"/>
              </w:rPr>
              <w:t>Continuous stream, 20+ rounds</w:t>
            </w:r>
          </w:p>
        </w:tc>
      </w:tr>
      <w:tr>
        <w:tc>
          <w:tcPr>
            <w:tcW w:type="dxa" w:w="3480"/>
            <w:tcBorders>
              <w:top w:val="single" w:color="000000" w:sz="4"/>
              <w:bottom w:val="single" w:color="000000" w:sz="4"/>
            </w:tcBorders>
          </w:tcPr>
          <w:p>
            <w:pPr>
              <w:spacing w:before="40" w:after="40"/>
              <w:jc w:val="center"/>
            </w:pPr>
            <w:r>
              <w:rPr>
                <w:rFonts w:ascii="Times New Roman" w:hAnsi="Times New Roman"/>
                <w:b w:val="0"/>
                <w:i w:val="0"/>
                <w:sz w:val="17"/>
              </w:rPr>
              <w:t>Strategy</w:t>
            </w:r>
          </w:p>
        </w:tc>
        <w:tc>
          <w:tcPr>
            <w:tcW w:type="dxa" w:w="3480"/>
            <w:tcBorders>
              <w:top w:val="single" w:color="000000" w:sz="4"/>
              <w:bottom w:val="single" w:color="000000" w:sz="4"/>
            </w:tcBorders>
          </w:tcPr>
          <w:p>
            <w:pPr>
              <w:spacing w:before="40" w:after="40"/>
              <w:jc w:val="left"/>
            </w:pPr>
            <w:r>
              <w:rPr>
                <w:rFonts w:ascii="Times New Roman" w:hAnsi="Times New Roman"/>
                <w:b w:val="0"/>
                <w:i w:val="0"/>
                <w:sz w:val="17"/>
              </w:rPr>
              <w:t>One fixed algorithm</w:t>
            </w:r>
          </w:p>
        </w:tc>
        <w:tc>
          <w:tcPr>
            <w:tcW w:type="dxa" w:w="3480"/>
            <w:tcBorders>
              <w:top w:val="single" w:color="000000" w:sz="4"/>
              <w:bottom w:val="single" w:color="000000" w:sz="4"/>
            </w:tcBorders>
          </w:tcPr>
          <w:p>
            <w:pPr>
              <w:spacing w:before="40" w:after="40"/>
              <w:jc w:val="left"/>
            </w:pPr>
            <w:r>
              <w:rPr>
                <w:rFonts w:ascii="Times New Roman" w:hAnsi="Times New Roman"/>
                <w:b w:val="0"/>
                <w:i w:val="0"/>
                <w:sz w:val="17"/>
              </w:rPr>
              <w:t>Dynamic three-tier routing</w:t>
            </w:r>
          </w:p>
        </w:tc>
      </w:tr>
      <w:tr>
        <w:tc>
          <w:tcPr>
            <w:tcW w:type="dxa" w:w="3480"/>
            <w:tcBorders>
              <w:top w:val="single" w:color="000000" w:sz="4"/>
              <w:bottom w:val="single" w:color="000000" w:sz="4"/>
            </w:tcBorders>
          </w:tcPr>
          <w:p>
            <w:pPr>
              <w:spacing w:before="40" w:after="40"/>
              <w:jc w:val="center"/>
            </w:pPr>
            <w:r>
              <w:rPr>
                <w:rFonts w:ascii="Times New Roman" w:hAnsi="Times New Roman"/>
                <w:b w:val="0"/>
                <w:i w:val="0"/>
                <w:sz w:val="17"/>
              </w:rPr>
              <w:t>Geometry</w:t>
            </w:r>
          </w:p>
        </w:tc>
        <w:tc>
          <w:tcPr>
            <w:tcW w:type="dxa" w:w="3480"/>
            <w:tcBorders>
              <w:top w:val="single" w:color="000000" w:sz="4"/>
              <w:bottom w:val="single" w:color="000000" w:sz="4"/>
            </w:tcBorders>
          </w:tcPr>
          <w:p>
            <w:pPr>
              <w:spacing w:before="40" w:after="40"/>
              <w:jc w:val="left"/>
            </w:pPr>
            <w:r>
              <w:rPr>
                <w:rFonts w:ascii="Times New Roman" w:hAnsi="Times New Roman"/>
                <w:b w:val="0"/>
                <w:i w:val="0"/>
                <w:sz w:val="17"/>
              </w:rPr>
              <w:t>Not tracked</w:t>
            </w:r>
          </w:p>
        </w:tc>
        <w:tc>
          <w:tcPr>
            <w:tcW w:type="dxa" w:w="3480"/>
            <w:tcBorders>
              <w:top w:val="single" w:color="000000" w:sz="4"/>
              <w:bottom w:val="single" w:color="000000" w:sz="4"/>
            </w:tcBorders>
          </w:tcPr>
          <w:p>
            <w:pPr>
              <w:spacing w:before="40" w:after="40"/>
              <w:jc w:val="left"/>
            </w:pPr>
            <w:r>
              <w:rPr>
                <w:rFonts w:ascii="Times New Roman" w:hAnsi="Times New Roman"/>
                <w:b w:val="0"/>
                <w:i w:val="0"/>
                <w:sz w:val="17"/>
              </w:rPr>
              <w:t>Orthonormal basis, SOM score</w:t>
            </w:r>
          </w:p>
        </w:tc>
      </w:tr>
      <w:tr>
        <w:tc>
          <w:tcPr>
            <w:tcW w:type="dxa" w:w="3480"/>
            <w:tcBorders>
              <w:top w:val="single" w:color="000000" w:sz="4"/>
              <w:bottom w:val="single" w:color="000000" w:sz="4"/>
            </w:tcBorders>
          </w:tcPr>
          <w:p>
            <w:pPr>
              <w:spacing w:before="40" w:after="40"/>
              <w:jc w:val="center"/>
            </w:pPr>
            <w:r>
              <w:rPr>
                <w:rFonts w:ascii="Times New Roman" w:hAnsi="Times New Roman"/>
                <w:b w:val="0"/>
                <w:i w:val="0"/>
                <w:sz w:val="17"/>
              </w:rPr>
              <w:t>Safety</w:t>
            </w:r>
          </w:p>
        </w:tc>
        <w:tc>
          <w:tcPr>
            <w:tcW w:type="dxa" w:w="3480"/>
            <w:tcBorders>
              <w:top w:val="single" w:color="000000" w:sz="4"/>
              <w:bottom w:val="single" w:color="000000" w:sz="4"/>
            </w:tcBorders>
          </w:tcPr>
          <w:p>
            <w:pPr>
              <w:spacing w:before="40" w:after="40"/>
              <w:jc w:val="left"/>
            </w:pPr>
            <w:r>
              <w:rPr>
                <w:rFonts w:ascii="Times New Roman" w:hAnsi="Times New Roman"/>
                <w:b w:val="0"/>
                <w:i w:val="0"/>
                <w:sz w:val="17"/>
              </w:rPr>
              <w:t>No post-update check</w:t>
            </w:r>
          </w:p>
        </w:tc>
        <w:tc>
          <w:tcPr>
            <w:tcW w:type="dxa" w:w="3480"/>
            <w:tcBorders>
              <w:top w:val="single" w:color="000000" w:sz="4"/>
              <w:bottom w:val="single" w:color="000000" w:sz="4"/>
            </w:tcBorders>
          </w:tcPr>
          <w:p>
            <w:pPr>
              <w:spacing w:before="40" w:after="40"/>
              <w:jc w:val="left"/>
            </w:pPr>
            <w:r>
              <w:rPr>
                <w:rFonts w:ascii="Times New Roman" w:hAnsi="Times New Roman"/>
                <w:b w:val="0"/>
                <w:i w:val="0"/>
                <w:sz w:val="17"/>
              </w:rPr>
              <w:t>Verify, roll back, escalate</w:t>
            </w:r>
          </w:p>
        </w:tc>
      </w:tr>
      <w:tr>
        <w:tc>
          <w:tcPr>
            <w:tcW w:type="dxa" w:w="3480"/>
            <w:tcBorders>
              <w:top w:val="single" w:color="000000" w:sz="4"/>
              <w:bottom w:val="single" w:color="000000" w:sz="4"/>
            </w:tcBorders>
          </w:tcPr>
          <w:p>
            <w:pPr>
              <w:spacing w:before="40" w:after="40"/>
              <w:jc w:val="center"/>
            </w:pPr>
            <w:r>
              <w:rPr>
                <w:rFonts w:ascii="Times New Roman" w:hAnsi="Times New Roman"/>
                <w:b w:val="0"/>
                <w:i w:val="0"/>
                <w:sz w:val="17"/>
              </w:rPr>
              <w:t>Auditability</w:t>
            </w:r>
          </w:p>
        </w:tc>
        <w:tc>
          <w:tcPr>
            <w:tcW w:type="dxa" w:w="3480"/>
            <w:tcBorders>
              <w:top w:val="single" w:color="000000" w:sz="4"/>
              <w:bottom w:val="single" w:color="000000" w:sz="4"/>
            </w:tcBorders>
          </w:tcPr>
          <w:p>
            <w:pPr>
              <w:spacing w:before="40" w:after="40"/>
              <w:jc w:val="left"/>
            </w:pPr>
            <w:r>
              <w:rPr>
                <w:rFonts w:ascii="Times New Roman" w:hAnsi="Times New Roman"/>
                <w:b w:val="0"/>
                <w:i w:val="0"/>
                <w:sz w:val="17"/>
              </w:rPr>
              <w:t>Benchmark metrics</w:t>
            </w:r>
          </w:p>
        </w:tc>
        <w:tc>
          <w:tcPr>
            <w:tcW w:type="dxa" w:w="3480"/>
            <w:tcBorders>
              <w:top w:val="single" w:color="000000" w:sz="4"/>
              <w:bottom w:val="single" w:color="000000" w:sz="4"/>
            </w:tcBorders>
          </w:tcPr>
          <w:p>
            <w:pPr>
              <w:spacing w:before="40" w:after="40"/>
              <w:jc w:val="left"/>
            </w:pPr>
            <w:r>
              <w:rPr>
                <w:rFonts w:ascii="Times New Roman" w:hAnsi="Times New Roman"/>
                <w:b w:val="0"/>
                <w:i w:val="0"/>
                <w:sz w:val="17"/>
              </w:rPr>
              <w:t>Hash-chained per-batch record</w:t>
            </w:r>
          </w:p>
        </w:tc>
      </w:tr>
    </w:tbl>
    <w:p>
      <w:pPr>
        <w:keepNext/>
        <w:spacing w:before="160" w:after="40"/>
        <w:jc w:val="left"/>
      </w:pPr>
      <w:r>
        <w:rPr>
          <w:rFonts w:ascii="Times New Roman" w:hAnsi="Times New Roman"/>
          <w:b/>
          <w:i/>
          <w:sz w:val="20"/>
        </w:rPr>
        <w:t>C. Discussion</w:t>
      </w:r>
    </w:p>
    <w:p>
      <w:pPr>
        <w:spacing w:before="0" w:after="80" w:line="240" w:lineRule="auto"/>
        <w:ind w:firstLine="288"/>
        <w:jc w:val="both"/>
      </w:pPr>
      <w:r>
        <w:rPr>
          <w:rFonts w:ascii="Times New Roman" w:hAnsi="Times New Roman"/>
          <w:b w:val="0"/>
          <w:i w:val="0"/>
          <w:sz w:val="20"/>
        </w:rPr>
        <w:t>Two design choices deserve comment. The first is why SOM is computed on the gradient. An alternative would be to try the update, measure the damage, and undo it if it is too large. That is what the verification gate does anyway, but it costs a full application of the primitive each time. SOM lets the router skip the doomed attempt, so in the regime where overlap is high we avoid paying for a fast update that was going to be thrown away. The gate is still necessary, because the SOM score is a prediction and predictions can be wrong.</w:t>
      </w:r>
    </w:p>
    <w:p>
      <w:pPr>
        <w:spacing w:before="0" w:after="80" w:line="240" w:lineRule="auto"/>
        <w:ind w:firstLine="288"/>
        <w:jc w:val="both"/>
      </w:pPr>
      <w:r>
        <w:rPr>
          <w:rFonts w:ascii="Times New Roman" w:hAnsi="Times New Roman"/>
          <w:b w:val="0"/>
          <w:i w:val="0"/>
          <w:sz w:val="20"/>
        </w:rPr>
        <w:t>The second is the role of the entropy term. Overlap with earlier edits is not the only reason a request is difficult. A concentrated request can be hard even on a fresh model, since the forgotten class shares features with the retained ones. Sending these to Tier 2 regardless of s is a hedge that costs some speed in exchange for the retain-loss anchor.</w:t>
      </w:r>
    </w:p>
    <w:p>
      <w:pPr>
        <w:keepNext/>
        <w:spacing w:before="160" w:after="40"/>
        <w:jc w:val="left"/>
      </w:pPr>
      <w:r>
        <w:rPr>
          <w:rFonts w:ascii="Times New Roman" w:hAnsi="Times New Roman"/>
          <w:b/>
          <w:i/>
          <w:sz w:val="20"/>
        </w:rPr>
        <w:t>D. Practical notes</w:t>
      </w:r>
    </w:p>
    <w:p>
      <w:pPr>
        <w:spacing w:before="0" w:after="80" w:line="240" w:lineRule="auto"/>
        <w:ind w:firstLine="288"/>
        <w:jc w:val="both"/>
      </w:pPr>
      <w:r>
        <w:rPr>
          <w:rFonts w:ascii="Times New Roman" w:hAnsi="Times New Roman"/>
          <w:b w:val="0"/>
          <w:i w:val="0"/>
          <w:sz w:val="20"/>
        </w:rPr>
        <w:t>Two operational points follow from the design. Checkpoint storage is the main memory overhead, since a copy is needed before each round; in practice only the latest verified checkpoint must be kept, plus whatever the audit policy requires. And because the gate is cheap relative to any training-based tier, running it even on Tier 1 outputs adds little to the total, while giving the operator a reason to trust the fast path.</w:t>
      </w:r>
    </w:p>
    <w:p>
      <w:pPr>
        <w:keepNext/>
        <w:spacing w:before="240" w:after="80"/>
        <w:jc w:val="center"/>
      </w:pPr>
      <w:r>
        <w:rPr>
          <w:rFonts w:ascii="Times New Roman" w:hAnsi="Times New Roman"/>
          <w:b/>
          <w:i w:val="0"/>
          <w:sz w:val="20"/>
        </w:rPr>
        <w:t>VII. LIMITATIONS</w:t>
      </w:r>
    </w:p>
    <w:p>
      <w:pPr>
        <w:spacing w:before="0" w:after="80" w:line="240" w:lineRule="auto"/>
        <w:ind w:firstLine="288"/>
        <w:jc w:val="both"/>
      </w:pPr>
      <w:r>
        <w:rPr>
          <w:rFonts w:ascii="Times New Roman" w:hAnsi="Times New Roman"/>
          <w:b w:val="0"/>
          <w:i w:val="0"/>
          <w:sz w:val="20"/>
        </w:rPr>
        <w:t>We want to be direct about the weaknesses of the current design. First, the chance-level criterion on forget accuracy fits class-level deletion well. For a random sample drawn from all classes, a model retrained without those samples would still classify many of them correctly, since it generalizes. Demanding 10% there is stricter than the retrained model itself would pass. For such requests the better reference is the forget accuracy of a retrained model, or the gap to test accuracy, and this is a change we intend to make. Second, the retain bound in (2) is per round. Twenty rounds each losing just under 3 points would still add up, so a cumulative budget is needed alongside it.</w:t>
      </w:r>
    </w:p>
    <w:p>
      <w:pPr>
        <w:spacing w:before="0" w:after="80" w:line="240" w:lineRule="auto"/>
        <w:ind w:firstLine="288"/>
        <w:jc w:val="both"/>
      </w:pPr>
      <w:r>
        <w:rPr>
          <w:rFonts w:ascii="Times New Roman" w:hAnsi="Times New Roman"/>
          <w:b w:val="0"/>
          <w:i w:val="0"/>
          <w:sz w:val="20"/>
        </w:rPr>
        <w:t>Third, the thresholds 0.40, 0.80 and 0.40 are fixed defaults, not learned or calibrated per model, and they probably do not transfer unchanged to other architectures or datasets. Fourth, the evaluation so far is limited to CIFAR-10, which is small and has few classes. Fifth, membership-inference results are themselves noisy and sensitive to the attack used [8], [17], so an AUC near 0.50 is evidence and not proof. For the same reason the audit record should not be read as a guarantee of erasure in the formal sense used by certified-removal work. Finally, SOM requires a gradient and a basis in parameter space; for billion-parameter models that will require the layer-wise or projected variants mentioned in Section IV-C.</w:t>
      </w:r>
    </w:p>
    <w:p>
      <w:pPr>
        <w:keepNext/>
        <w:spacing w:before="240" w:after="80"/>
        <w:jc w:val="center"/>
      </w:pPr>
      <w:r>
        <w:rPr>
          <w:rFonts w:ascii="Times New Roman" w:hAnsi="Times New Roman"/>
          <w:b/>
          <w:i w:val="0"/>
          <w:sz w:val="20"/>
        </w:rPr>
        <w:t>VIII. CONCLUSION</w:t>
      </w:r>
    </w:p>
    <w:p>
      <w:pPr>
        <w:spacing w:before="0" w:after="80" w:line="240" w:lineRule="auto"/>
        <w:ind w:firstLine="288"/>
        <w:jc w:val="both"/>
      </w:pPr>
      <w:r>
        <w:rPr>
          <w:rFonts w:ascii="Times New Roman" w:hAnsi="Times New Roman"/>
          <w:b w:val="0"/>
          <w:i w:val="0"/>
          <w:sz w:val="20"/>
        </w:rPr>
        <w:t>Regulatory deletion is a continuing process, and unlearning methods that are only tested on one request at a time say little about how a model behaves after many. We presented ASUC-SOM, a controller that watches the geometry of repeated edits with a Subspace Overlap Monitor, routes each request to the cheapest primitive that is likely to be safe, and refuses to release a model until it passes forget, utility and membership-inference checks. The arithmetic of the tiers shows that the benefit depends on keeping exact retraining rare, and that is the property the SOM score is meant to protect. The immediate next steps are to complete the multi-seed evaluation, replace the chance criterion for non-class requests, add a cumulative utility budget, and test on larger models and datasets.</w:t>
      </w:r>
    </w:p>
    <w:p>
      <w:pPr>
        <w:keepNext/>
        <w:spacing w:before="240" w:after="80"/>
        <w:jc w:val="center"/>
      </w:pPr>
      <w:r>
        <w:rPr>
          <w:rFonts w:ascii="Times New Roman" w:hAnsi="Times New Roman"/>
          <w:b/>
          <w:i w:val="0"/>
          <w:sz w:val="20"/>
        </w:rPr>
        <w:t>REFERENCES</w:t>
      </w:r>
    </w:p>
    <w:p>
      <w:pPr>
        <w:spacing w:after="40" w:line="240" w:lineRule="auto"/>
        <w:ind w:left="288" w:hanging="288"/>
      </w:pPr>
      <w:r>
        <w:rPr>
          <w:rFonts w:ascii="Times New Roman" w:hAnsi="Times New Roman"/>
          <w:b w:val="0"/>
          <w:i w:val="0"/>
          <w:sz w:val="16"/>
        </w:rPr>
        <w:t>[1] European Parliament and Council, “Regulation (EU) 2016/679 (General Data Protection Regulation),” Art. 17, Official J. Eur. Union, 2016.</w:t>
      </w:r>
    </w:p>
    <w:p>
      <w:pPr>
        <w:spacing w:after="40" w:line="240" w:lineRule="auto"/>
        <w:ind w:left="288" w:hanging="288"/>
      </w:pPr>
      <w:r>
        <w:rPr>
          <w:rFonts w:ascii="Times New Roman" w:hAnsi="Times New Roman"/>
          <w:b w:val="0"/>
          <w:i w:val="0"/>
          <w:sz w:val="16"/>
        </w:rPr>
        <w:t>[2] Y. Cao and J. Yang, “Towards making systems forget with machine unlearning,” in Proc. IEEE Symp. Security and Privacy, 2015, pp. 463–480.</w:t>
      </w:r>
    </w:p>
    <w:p>
      <w:pPr>
        <w:spacing w:after="40" w:line="240" w:lineRule="auto"/>
        <w:ind w:left="288" w:hanging="288"/>
      </w:pPr>
      <w:r>
        <w:rPr>
          <w:rFonts w:ascii="Times New Roman" w:hAnsi="Times New Roman"/>
          <w:b w:val="0"/>
          <w:i w:val="0"/>
          <w:sz w:val="16"/>
        </w:rPr>
        <w:t>[3] L. Bourtoule et al., “Machine unlearning,” in Proc. IEEE Symp. Security and Privacy, 2021, pp. 141–159.</w:t>
      </w:r>
    </w:p>
    <w:p>
      <w:pPr>
        <w:spacing w:after="40" w:line="240" w:lineRule="auto"/>
        <w:ind w:left="288" w:hanging="288"/>
      </w:pPr>
      <w:r>
        <w:rPr>
          <w:rFonts w:ascii="Times New Roman" w:hAnsi="Times New Roman"/>
          <w:b w:val="0"/>
          <w:i w:val="0"/>
          <w:sz w:val="16"/>
        </w:rPr>
        <w:t>[4] J. Foster, S. Schoepf, and A. Brintrup, “Fast machine unlearning without retraining through selective synaptic dampening,” in Proc. AAAI Conf. Artificial Intelligence, vol. 38, 2024, pp. 12043–12051.</w:t>
      </w:r>
    </w:p>
    <w:p>
      <w:pPr>
        <w:spacing w:after="40" w:line="240" w:lineRule="auto"/>
        <w:ind w:left="288" w:hanging="288"/>
      </w:pPr>
      <w:r>
        <w:rPr>
          <w:rFonts w:ascii="Times New Roman" w:hAnsi="Times New Roman"/>
          <w:b w:val="0"/>
          <w:i w:val="0"/>
          <w:sz w:val="16"/>
        </w:rPr>
        <w:t>[5] C. Fan, J. Liu, Y. Zhang, E. Wong, D. Wei, and S. Liu, “SalUn: Empowering machine unlearning via gradient-based weight saliency in both image classification and generation,” in Proc. Int. Conf. Learning Representations, 2024.</w:t>
      </w:r>
    </w:p>
    <w:p>
      <w:pPr>
        <w:spacing w:after="40" w:line="240" w:lineRule="auto"/>
        <w:ind w:left="288" w:hanging="288"/>
      </w:pPr>
      <w:r>
        <w:rPr>
          <w:rFonts w:ascii="Times New Roman" w:hAnsi="Times New Roman"/>
          <w:b w:val="0"/>
          <w:i w:val="0"/>
          <w:sz w:val="16"/>
        </w:rPr>
        <w:t>[6] J. Kirkpatrick et al., “Overcoming catastrophic forgetting in neural networks,” Proc. Natl. Acad. Sci. USA, vol. 114, no. 13, pp. 3521–3526, 2017.</w:t>
      </w:r>
    </w:p>
    <w:p>
      <w:pPr>
        <w:spacing w:after="40" w:line="240" w:lineRule="auto"/>
        <w:ind w:left="288" w:hanging="288"/>
      </w:pPr>
      <w:r>
        <w:rPr>
          <w:rFonts w:ascii="Times New Roman" w:hAnsi="Times New Roman"/>
          <w:b w:val="0"/>
          <w:i w:val="0"/>
          <w:sz w:val="16"/>
        </w:rPr>
        <w:t>[7] A. Golatkar, A. Achille, and S. Soatto, “Eternal sunshine of the spotless net: Selective forgetting in deep networks,” in Proc. IEEE/CVF Conf. Computer Vision and Pattern Recognition, 2020, pp. 9304–9312.</w:t>
      </w:r>
    </w:p>
    <w:p>
      <w:pPr>
        <w:spacing w:after="40" w:line="240" w:lineRule="auto"/>
        <w:ind w:left="288" w:hanging="288"/>
      </w:pPr>
      <w:r>
        <w:rPr>
          <w:rFonts w:ascii="Times New Roman" w:hAnsi="Times New Roman"/>
          <w:b w:val="0"/>
          <w:i w:val="0"/>
          <w:sz w:val="16"/>
        </w:rPr>
        <w:t>[8] A. Thudi, G. Deza, V. Chandrasekaran, and N. Papernot, “Unrolling SGD: Understanding factors influencing machine unlearning,” in Proc. IEEE Eur. Symp. Security and Privacy, 2022, pp. 303–319.</w:t>
      </w:r>
    </w:p>
    <w:p>
      <w:pPr>
        <w:spacing w:after="40" w:line="240" w:lineRule="auto"/>
        <w:ind w:left="288" w:hanging="288"/>
      </w:pPr>
      <w:r>
        <w:rPr>
          <w:rFonts w:ascii="Times New Roman" w:hAnsi="Times New Roman"/>
          <w:b w:val="0"/>
          <w:i w:val="0"/>
          <w:sz w:val="16"/>
        </w:rPr>
        <w:t>[9] R. Shokri, M. Stronati, C. Song, and V. Shmatikov, “Membership inference attacks against machine learning models,” in Proc. IEEE Symp. Security and Privacy, 2017, pp. 3–18.</w:t>
      </w:r>
    </w:p>
    <w:p>
      <w:pPr>
        <w:spacing w:after="40" w:line="240" w:lineRule="auto"/>
        <w:ind w:left="288" w:hanging="288"/>
      </w:pPr>
      <w:r>
        <w:rPr>
          <w:rFonts w:ascii="Times New Roman" w:hAnsi="Times New Roman"/>
          <w:b w:val="0"/>
          <w:i w:val="0"/>
          <w:sz w:val="16"/>
        </w:rPr>
        <w:t>[10] V. S. Chundawat, A. K. Tarun, M. Mandal, and M. Kankanhalli, “Can bad teaching induce forgetting? Unlearning in deep networks using an incompetent teacher,” in Proc. AAAI Conf. Artificial Intelligence, vol. 37, 2023.</w:t>
      </w:r>
    </w:p>
    <w:p>
      <w:pPr>
        <w:spacing w:after="40" w:line="240" w:lineRule="auto"/>
        <w:ind w:left="288" w:hanging="288"/>
      </w:pPr>
      <w:r>
        <w:rPr>
          <w:rFonts w:ascii="Times New Roman" w:hAnsi="Times New Roman"/>
          <w:b w:val="0"/>
          <w:i w:val="0"/>
          <w:sz w:val="16"/>
        </w:rPr>
        <w:t>[11] A. Krizhevsky, “Learning multiple layers of features from tiny images,” Univ. Toronto, Tech. Rep., 2009.</w:t>
      </w:r>
    </w:p>
    <w:p>
      <w:pPr>
        <w:spacing w:after="40" w:line="240" w:lineRule="auto"/>
        <w:ind w:left="288" w:hanging="288"/>
      </w:pPr>
      <w:r>
        <w:rPr>
          <w:rFonts w:ascii="Times New Roman" w:hAnsi="Times New Roman"/>
          <w:b w:val="0"/>
          <w:i w:val="0"/>
          <w:sz w:val="16"/>
        </w:rPr>
        <w:t>[12] V. Gupta, C. Jung, S. Neel, A. Roth, S. Sharifi-Malvajerdi, and C. Waites, “Adaptive machine unlearning,” in Proc. Adv. Neural Information Processing Systems, vol. 34, 2021.</w:t>
      </w:r>
    </w:p>
    <w:p>
      <w:pPr>
        <w:spacing w:after="40" w:line="240" w:lineRule="auto"/>
        <w:ind w:left="288" w:hanging="288"/>
      </w:pPr>
      <w:r>
        <w:rPr>
          <w:rFonts w:ascii="Times New Roman" w:hAnsi="Times New Roman"/>
          <w:b w:val="0"/>
          <w:i w:val="0"/>
          <w:sz w:val="16"/>
        </w:rPr>
        <w:t>[13] L. Graves, V. Nagisetty, and V. Ganesh, “Amnesiac machine learning,” in Proc. AAAI Conf. Artificial Intelligence, vol. 35, 2021, pp. 11516–11524.</w:t>
      </w:r>
    </w:p>
    <w:p>
      <w:pPr>
        <w:spacing w:after="40" w:line="240" w:lineRule="auto"/>
        <w:ind w:left="288" w:hanging="288"/>
      </w:pPr>
      <w:r>
        <w:rPr>
          <w:rFonts w:ascii="Times New Roman" w:hAnsi="Times New Roman"/>
          <w:b w:val="0"/>
          <w:i w:val="0"/>
          <w:sz w:val="16"/>
        </w:rPr>
        <w:t>[14] A. Ginart, M. Guan, G. Valiant, and J. Zou, “Making AI forget you: Data deletion in machine learning,” in Proc. Adv. Neural Information Processing Systems, vol. 32, 2019.</w:t>
      </w:r>
    </w:p>
    <w:p>
      <w:pPr>
        <w:spacing w:after="40" w:line="240" w:lineRule="auto"/>
        <w:ind w:left="288" w:hanging="288"/>
      </w:pPr>
      <w:r>
        <w:rPr>
          <w:rFonts w:ascii="Times New Roman" w:hAnsi="Times New Roman"/>
          <w:b w:val="0"/>
          <w:i w:val="0"/>
          <w:sz w:val="16"/>
        </w:rPr>
        <w:t>[15] A. Sekhari, J. Acharya, G. Kamath, and A. T. Suresh, “Remember what you want to forget: Algorithms for machine unlearning,” in Proc. Adv. Neural Information Processing Systems, vol. 34, 2021.</w:t>
      </w:r>
    </w:p>
    <w:p>
      <w:pPr>
        <w:spacing w:after="40" w:line="240" w:lineRule="auto"/>
        <w:ind w:left="288" w:hanging="288"/>
      </w:pPr>
      <w:r>
        <w:rPr>
          <w:rFonts w:ascii="Times New Roman" w:hAnsi="Times New Roman"/>
          <w:b w:val="0"/>
          <w:i w:val="0"/>
          <w:sz w:val="16"/>
        </w:rPr>
        <w:t>[16] G. Saha, I. Garg, and K. Roy, “Gradient projection memory for continual learning,” in Proc. Int. Conf. Learning Representations, 2021.</w:t>
      </w:r>
    </w:p>
    <w:p>
      <w:pPr>
        <w:spacing w:after="40" w:line="240" w:lineRule="auto"/>
        <w:ind w:left="288" w:hanging="288"/>
      </w:pPr>
      <w:r>
        <w:rPr>
          <w:rFonts w:ascii="Times New Roman" w:hAnsi="Times New Roman"/>
          <w:b w:val="0"/>
          <w:i w:val="0"/>
          <w:sz w:val="16"/>
        </w:rPr>
        <w:t>[17] N. Carlini, S. Chien, M. Nasr, S. Song, A. Terzis, and F. Tramèr, “Membership inference attacks from first principles,” in Proc. IEEE Symp. Security and Privacy, 2022, pp. 1897–1914.</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