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40"/>
        </w:rPr>
        <w:t>ASUC-SOM: Subspace-Aware Adaptive Routing for Sequential Machine Unlearning under GDPR Article 17</w:t>
      </w:r>
    </w:p>
    <w:p>
      <w:pPr>
        <w:jc w:val="center"/>
      </w:pPr>
      <w:r>
        <w:rPr>
          <w:rFonts w:ascii="Times New Roman" w:hAnsi="Times New Roman"/>
          <w:b/>
          <w:sz w:val="22"/>
        </w:rPr>
        <w:t>Mithul Kannan</w:t>
        <w:br/>
      </w:r>
      <w:r>
        <w:rPr>
          <w:rFonts w:ascii="Times New Roman" w:hAnsi="Times New Roman"/>
          <w:i/>
          <w:sz w:val="19"/>
        </w:rPr>
        <w:t>Department of Computer Science and Engineering</w:t>
        <w:br/>
        <w:t>Autonomous Systems and Machine Learning Laboratory</w:t>
        <w:br/>
      </w:r>
      <w:r>
        <w:rPr>
          <w:rFonts w:ascii="Courier New" w:hAnsi="Courier New"/>
          <w:sz w:val="19"/>
        </w:rPr>
        <w:t>mithulkannan@ieee.org</w:t>
      </w:r>
    </w:p>
    <w:p>
      <w:pPr>
        <w:spacing w:after="100" w:line="252" w:lineRule="auto"/>
        <w:jc w:val="both"/>
      </w:pPr>
      <w:r>
        <w:rPr>
          <w:rFonts w:ascii="Times New Roman" w:hAnsi="Times New Roman"/>
          <w:sz w:val="20"/>
        </w:rPr>
        <w:t>Abstract—Machine unlearning algorithms are predominantly evaluated under isolated, single-request assumptions: a model is trained, a single forget set is removed, and performance is recorded. Regulatory frameworks such as GDPR Article 17 and the California Consumer Privacy Act (CCPA) mandate continuous, sequential data erasure over the entire operational lifecycle of a deployed model. In this sequential regime, static unlearning heuristics (e.g., Selective Synaptic Dampening and Saliency Unlearning) exhibit severe parameter fatigue, with static SSD collapsing to random-chance accuracy (9.96%) by Round 3 under uniform random deletions. We present ASUC-SOM, an adaptive closed-loop controller that formulates sequential unlearning as a geometric control problem. A Subspace Overlap Monitor (SOM) maintains a running low-rank orthonormal basis Q_k of historical parameter update trajectories, computing the projection overlap of incoming deletion gradients before weights are modified. An entropy-aware tiered router dynamically dispatches requests across rapid dampening (SSD, ~150× speedup), regularized saliency masking (SalUn, ~115× speedup), and selective exact retraining. A closed-loop verification gate enforces empirical forget and retain bounds with automated rollback and tier escalation. Evaluated on ResNet-18 across 20 sequential deletion rounds (10,000 forgotten samples), ASUC-SOM maintains 97.19% retain accuracy and 90.89% test generalization without experiencing rank collapse, achieving up to 148× speedup over naive retraining.</w:t>
      </w:r>
    </w:p>
    <w:p>
      <w:pPr>
        <w:spacing w:after="200" w:line="252" w:lineRule="auto"/>
        <w:jc w:val="both"/>
      </w:pPr>
      <w:r>
        <w:rPr>
          <w:rFonts w:ascii="Times New Roman" w:hAnsi="Times New Roman"/>
          <w:sz w:val="20"/>
        </w:rPr>
        <w:t>Index Terms—Machine unlearning, sequential deletion, GDPR Article 17, parameter fatigue, selective synaptic dampening, subspace overlap monitoring, closed-loop verification, membership inference defense.</w:t>
      </w:r>
    </w:p>
    <w:p>
      <w:pPr>
        <w:spacing w:before="280" w:after="80"/>
      </w:pPr>
      <w:r>
        <w:rPr>
          <w:rFonts w:ascii="Times New Roman" w:hAnsi="Times New Roman"/>
          <w:b/>
          <w:sz w:val="23"/>
        </w:rPr>
        <w:t>I. INTRODUCTION</w:t>
      </w:r>
    </w:p>
    <w:p>
      <w:pPr>
        <w:spacing w:after="100" w:line="252" w:lineRule="auto"/>
        <w:jc w:val="both"/>
      </w:pPr>
      <w:r>
        <w:rPr>
          <w:rFonts w:ascii="Times New Roman" w:hAnsi="Times New Roman"/>
          <w:sz w:val="20"/>
        </w:rPr>
        <w:t>A trained deep neural network functions fundamentally as an indexed, parameterized compression of its training corpus. When individuals exercise the Right to be Forgotten under Article 17 of the European Union General Data Protection Regulation (GDPR) [1] or statutory deletion provisions in the California Consumer Privacy Act (CCPA), system operators are legally obligated to excise the influence of specific data points without undue delay. The conceptually pure counterfactual baseline—exact retraining from scratch on the retained dataset—is computationally prohibitive for modern deep networks undergoing recurrent deletion requests [2], [3].</w:t>
      </w:r>
    </w:p>
    <w:p>
      <w:pPr>
        <w:spacing w:after="100" w:line="252" w:lineRule="auto"/>
        <w:jc w:val="both"/>
      </w:pPr>
      <w:r>
        <w:rPr>
          <w:rFonts w:ascii="Times New Roman" w:hAnsi="Times New Roman"/>
          <w:sz w:val="20"/>
        </w:rPr>
        <w:t>To mitigate this compute bottleneck, approximate unlearning methods have emerged as efficient alternatives. Selective Synaptic Dampening (SSD) [4] applies one-shot Fisher information dampening to parameters disproportionately sensitive to the forget set without backpropagation. Saliency-Masked Unlearning (SalUn) [5] restrains gradient updates to the top salient weight fraction. Other paradigms utilize gradient ascent, first-order weight perturbation [7], or incompetent student-teacher distillation [10]. However, existing benchmarks uniformly evaluate these techniques on a single, isolated deletion request applied to a freshly initialized model.</w:t>
      </w:r>
    </w:p>
    <w:p>
      <w:pPr>
        <w:spacing w:after="100" w:line="252" w:lineRule="auto"/>
        <w:jc w:val="both"/>
      </w:pPr>
      <w:r>
        <w:rPr>
          <w:rFonts w:ascii="Times New Roman" w:hAnsi="Times New Roman"/>
          <w:sz w:val="20"/>
        </w:rPr>
        <w:t>In production environments, unlearning requests arrive continuously as a sequential stream over weeks and months. The model processing the t-th request is not the original checkpoint θ_0, but rather the cumulative product of t - 1 preceding parameter modifications. Through systematic empirical stress testing, we uncover that static unlearning heuristics suffer from parameter fatigue: repeated parameter modifications along correlated subspace dimensions lead to catastrophic representational collapse. As demonstrated in our experiments, static SSD collapses to 9.96% retain accuracy (random guessing on CIFAR-10) by Round 3 under sequential deletions.</w:t>
      </w:r>
    </w:p>
    <w:p>
      <w:pPr>
        <w:spacing w:after="100" w:line="252" w:lineRule="auto"/>
        <w:jc w:val="both"/>
      </w:pPr>
      <w:r>
        <w:rPr>
          <w:rFonts w:ascii="Times New Roman" w:hAnsi="Times New Roman"/>
          <w:sz w:val="20"/>
        </w:rPr>
        <w:t>To resolve this fundamental failure mode, we introduce ASUC-SOM (Adaptive Sequential Unlearning Controller with Subspace Overlap Monitoring). Our primary contributions are fourfold:</w:t>
        <w:br/>
        <w:t>1) Geometric Fatigue Detection: We formalize the Subspace Overlap Monitor (SOM), which tracks historical update trajectories via an orthonormal basis Q_k and measures gradient projection overlap prior to weight modification.</w:t>
        <w:br/>
        <w:t>2) Entropy-Aware Multi-Tier Routing: We design a three-tier routing policy that couples SOM scores with request class entropy H(c) to select between rapid dampening (SSD), regularized saliency masking (SalUn), and exact retraining.</w:t>
        <w:br/>
        <w:t>3) Closed-Loop Self-Healing Gate: We implement an automated verification gate with checkpoint rollback and tier escalation that prevents corrupted weights from propagating into production.</w:t>
        <w:br/>
        <w:t>4) Empirical Validation: Across 20 sequential deletion rounds on CIFAR-10 ResNet-18 (10,000 deleted samples), ASUC-SOM sustains 97.19% retain accuracy and 90.89% test generalization, delivering up to 148× compute speedup.</w:t>
      </w:r>
    </w:p>
    <w:p>
      <w:pPr>
        <w:spacing w:before="280" w:after="80"/>
      </w:pPr>
      <w:r>
        <w:rPr>
          <w:rFonts w:ascii="Times New Roman" w:hAnsi="Times New Roman"/>
          <w:b/>
          <w:sz w:val="23"/>
        </w:rPr>
        <w:t>II. RELATED WORK</w:t>
      </w:r>
    </w:p>
    <w:p>
      <w:pPr>
        <w:spacing w:before="200" w:after="60"/>
      </w:pPr>
      <w:r>
        <w:rPr>
          <w:rFonts w:ascii="Times New Roman" w:hAnsi="Times New Roman"/>
          <w:b/>
          <w:i/>
          <w:sz w:val="20"/>
        </w:rPr>
        <w:t>A. Exact and Approximate Machine Unlearning</w:t>
      </w:r>
    </w:p>
    <w:p>
      <w:pPr>
        <w:spacing w:after="100" w:line="252" w:lineRule="auto"/>
        <w:jc w:val="both"/>
      </w:pPr>
      <w:r>
        <w:rPr>
          <w:rFonts w:ascii="Times New Roman" w:hAnsi="Times New Roman"/>
          <w:sz w:val="20"/>
        </w:rPr>
        <w:t>Exact unlearning guarantees mathematically identical weight distributions to full retraining. Bourtoule et al. introduced SISA [3], sharding data across isolated sub-models to bound retraining costs. Approximate unlearning trades formal distributional parity for execution speed. Golatkar et al. [7] developed Newton-based scrubbing via Fisher information matrices. Foster et al. [4] formulated Selective Synaptic Dampening (SSD), dampening weights where Fisher information on the forget set exceeds retain Fisher values. Fan et al. [5] introduced SalUn, generating binary saliency masks to constrain gradient ascent to the top-k sensitive parameters. While effective for isolated requests, their stability under repeated sequential execution remains unaddressed.</w:t>
      </w:r>
    </w:p>
    <w:p>
      <w:pPr>
        <w:spacing w:before="200" w:after="60"/>
      </w:pPr>
      <w:r>
        <w:rPr>
          <w:rFonts w:ascii="Times New Roman" w:hAnsi="Times New Roman"/>
          <w:b/>
          <w:i/>
          <w:sz w:val="20"/>
        </w:rPr>
        <w:t>B. Sequential Deletion &amp; Catastrophic Forgetting</w:t>
      </w:r>
    </w:p>
    <w:p>
      <w:pPr>
        <w:spacing w:after="100" w:line="252" w:lineRule="auto"/>
        <w:jc w:val="both"/>
      </w:pPr>
      <w:r>
        <w:rPr>
          <w:rFonts w:ascii="Times New Roman" w:hAnsi="Times New Roman"/>
          <w:sz w:val="20"/>
        </w:rPr>
        <w:t>Sequential unlearning is the inverse of continual learning. Where continual learning seeks to acquire new tasks without catastrophic forgetting of old tasks [6], sequential unlearning must intentionally forget specified subsets without inadvertently destroying retained task knowledge. Saha et al. [16] utilized gradient projection memory to constrain learning to orthogonal subspaces. In contrast, ASUC-SOM uses orthonormal subspace projection not as a hard optimizer constraint, but as an observational sensor that drives closed-loop primitive routing.</w:t>
      </w:r>
    </w:p>
    <w:p>
      <w:pPr>
        <w:spacing w:before="280" w:after="80"/>
      </w:pPr>
      <w:r>
        <w:rPr>
          <w:rFonts w:ascii="Times New Roman" w:hAnsi="Times New Roman"/>
          <w:b/>
          <w:sz w:val="23"/>
        </w:rPr>
        <w:t>III. PROBLEM FORMULATION</w:t>
      </w:r>
    </w:p>
    <w:p>
      <w:pPr>
        <w:spacing w:after="100" w:line="252" w:lineRule="auto"/>
        <w:jc w:val="both"/>
      </w:pPr>
      <w:r>
        <w:rPr>
          <w:rFonts w:ascii="Times New Roman" w:hAnsi="Times New Roman"/>
          <w:sz w:val="20"/>
        </w:rPr>
        <w:t>Let a base model θ_0 in R^d be trained on a dataset D with C classes. Over time, an ordered sequence of deletion requests D_f^(1), D_f^(2), ..., D_f^(T) arrives. At round t, the cumulative retained set is D_r^(t) = D \ \bigcup_{tau=1}^t D_f^(tau). The controller selects a primitive a_t in {1, 2, 3} to produce updated weights θ_t.</w:t>
      </w:r>
    </w:p>
    <w:p>
      <w:pPr>
        <w:spacing w:after="100" w:line="252" w:lineRule="auto"/>
        <w:jc w:val="both"/>
      </w:pPr>
      <w:r>
        <w:rPr>
          <w:rFonts w:ascii="Times New Roman" w:hAnsi="Times New Roman"/>
          <w:sz w:val="20"/>
        </w:rPr>
        <w:t>To comply with GDPR Article 17, the candidate model θ_t must satisfy three simultaneous verification criteria:</w:t>
      </w:r>
    </w:p>
    <w:p>
      <w:pPr>
        <w:spacing w:before="80" w:after="80"/>
        <w:jc w:val="center"/>
      </w:pPr>
      <w:r>
        <w:rPr>
          <w:rFonts w:ascii="Times New Roman" w:hAnsi="Times New Roman"/>
          <w:i/>
          <w:sz w:val="20"/>
        </w:rPr>
        <w:t>Acc(D_f,val^(t); θ_t) &lt;= 1/C,    Acc(D_r,anchor^(t); θ_t-1) - Acc(D_r,anchor^(t); θ_t) &lt;= epsilon,    MIA_AUC(θ_t) &lt;= 0.55</w:t>
      </w:r>
    </w:p>
    <w:p>
      <w:pPr>
        <w:spacing w:after="100" w:line="252" w:lineRule="auto"/>
        <w:jc w:val="both"/>
      </w:pPr>
      <w:r>
        <w:rPr>
          <w:rFonts w:ascii="Times New Roman" w:hAnsi="Times New Roman"/>
          <w:sz w:val="20"/>
        </w:rPr>
        <w:t>where 1/C is the random-chance threshold (10.0% for CIFAR-10), epsilon = 3.0 percentage points is the maximum permissible retain accuracy degradation per round, and MIA_AUC bounds membership inference attack advantage to a random baseline.</w:t>
      </w:r>
    </w:p>
    <w:p>
      <w:pPr>
        <w:spacing w:before="280" w:after="80"/>
      </w:pPr>
      <w:r>
        <w:rPr>
          <w:rFonts w:ascii="Times New Roman" w:hAnsi="Times New Roman"/>
          <w:b/>
          <w:sz w:val="23"/>
        </w:rPr>
        <w:t>IV. THE ASUC-SOM ARCHITECTURE</w:t>
      </w:r>
    </w:p>
    <w:p>
      <w:pPr>
        <w:spacing w:before="200" w:after="60"/>
      </w:pPr>
      <w:r>
        <w:rPr>
          <w:rFonts w:ascii="Times New Roman" w:hAnsi="Times New Roman"/>
          <w:b/>
          <w:i/>
          <w:sz w:val="20"/>
        </w:rPr>
        <w:t>A. Request Profiler &amp; Class Entropy</w:t>
      </w:r>
    </w:p>
    <w:p>
      <w:pPr>
        <w:spacing w:after="100" w:line="252" w:lineRule="auto"/>
        <w:jc w:val="both"/>
      </w:pPr>
      <w:r>
        <w:rPr>
          <w:rFonts w:ascii="Times New Roman" w:hAnsi="Times New Roman"/>
          <w:sz w:val="20"/>
        </w:rPr>
        <w:t>The request profiler extracts two invariant metrics from incoming batch D_f^(t): (1) Cardinality ratio rho = |D_f^(t)| / |D_remaining^(t)|, and (2) Normalized Shannon class entropy H(c):</w:t>
      </w:r>
    </w:p>
    <w:p>
      <w:pPr>
        <w:spacing w:before="80" w:after="80"/>
        <w:jc w:val="center"/>
      </w:pPr>
      <w:r>
        <w:rPr>
          <w:rFonts w:ascii="Times New Roman" w:hAnsi="Times New Roman"/>
          <w:i/>
          <w:sz w:val="20"/>
        </w:rPr>
        <w:t>H(c) = - 1 / log(C) * sum_{c=1}^C p(c) log p(c) in [0, 1]</w:t>
      </w:r>
    </w:p>
    <w:p>
      <w:pPr>
        <w:spacing w:after="100" w:line="252" w:lineRule="auto"/>
        <w:jc w:val="both"/>
      </w:pPr>
      <w:r>
        <w:rPr>
          <w:rFonts w:ascii="Times New Roman" w:hAnsi="Times New Roman"/>
          <w:sz w:val="20"/>
        </w:rPr>
        <w:t>When H(c) &lt; 0.40, the deletion is class-concentrated (e.g., all samples belong to a single class), presenting high localized risk of destroying shared feature representations.</w:t>
      </w:r>
    </w:p>
    <w:p>
      <w:pPr>
        <w:spacing w:before="200" w:after="60"/>
      </w:pPr>
      <w:r>
        <w:rPr>
          <w:rFonts w:ascii="Times New Roman" w:hAnsi="Times New Roman"/>
          <w:b/>
          <w:i/>
          <w:sz w:val="20"/>
        </w:rPr>
        <w:t>B. Subspace Overlap Monitor (SOM)</w:t>
      </w:r>
    </w:p>
    <w:p>
      <w:pPr>
        <w:spacing w:after="100" w:line="252" w:lineRule="auto"/>
        <w:jc w:val="both"/>
      </w:pPr>
      <w:r>
        <w:rPr>
          <w:rFonts w:ascii="Times New Roman" w:hAnsi="Times New Roman"/>
          <w:sz w:val="20"/>
        </w:rPr>
        <w:t>To measure parameter fatigue, SOM maintains an orthonormal basis Q_k in R^{d x k} spanning historical gradient modification vectors. Given the forget-loss gradient g_t = grad_θ L(D_f^(t); θ_{t-1}), the subspace overlap score is defined as the normalized L2 projection:</w:t>
      </w:r>
    </w:p>
    <w:p>
      <w:pPr>
        <w:spacing w:before="80" w:after="80"/>
        <w:jc w:val="center"/>
      </w:pPr>
      <w:r>
        <w:rPr>
          <w:rFonts w:ascii="Times New Roman" w:hAnsi="Times New Roman"/>
          <w:i/>
          <w:sz w:val="20"/>
        </w:rPr>
        <w:t>SOM(g_t, Q_k) = || Q_k^T g_t ||_2 / || g_t ||_2 in [0, 1]</w:t>
      </w:r>
    </w:p>
    <w:p>
      <w:pPr>
        <w:spacing w:after="100" w:line="252" w:lineRule="auto"/>
        <w:jc w:val="both"/>
      </w:pPr>
      <w:r>
        <w:rPr>
          <w:rFonts w:ascii="Times New Roman" w:hAnsi="Times New Roman"/>
          <w:sz w:val="20"/>
        </w:rPr>
        <w:t>SOM defines three distinct model health states:</w:t>
        <w:br/>
        <w:t>• GREEN (SOM &lt; 0.40): Minimal subspace overlap; parameter space is healthy and receptive to fast single-pass dampening.</w:t>
        <w:br/>
        <w:t>• AMBER (0.40 &lt;= SOM &lt; 0.80): Moderate directional overlap; indicates accumulated parameter fatigue requiring regularized optimization.</w:t>
        <w:br/>
        <w:t>• RED (SOM &gt;= 0.80): Severe subspace collision; high risk of rank collapse requiring exact retraining.</w:t>
      </w:r>
    </w:p>
    <w:p>
      <w:pPr>
        <w:spacing w:before="200" w:after="60"/>
      </w:pPr>
      <w:r>
        <w:rPr>
          <w:rFonts w:ascii="Times New Roman" w:hAnsi="Times New Roman"/>
          <w:b/>
          <w:i/>
          <w:sz w:val="20"/>
        </w:rPr>
        <w:t>C. Multi-Tier Dynamic Router</w:t>
      </w:r>
    </w:p>
    <w:p>
      <w:pPr>
        <w:spacing w:after="100" w:line="252" w:lineRule="auto"/>
        <w:jc w:val="both"/>
      </w:pPr>
      <w:r>
        <w:rPr>
          <w:rFonts w:ascii="Times New Roman" w:hAnsi="Times New Roman"/>
          <w:sz w:val="20"/>
        </w:rPr>
        <w:t>The router evaluates health state s and entropy h according to the tiered dispatch policy:</w:t>
        <w:br/>
        <w:t>• Tier 1 (SSD): Triggered when s &lt; 0.40 and h &gt;= 0.40. Computes zero-gradient synaptic dampening in &lt;5 seconds (~150× speedup).</w:t>
        <w:br/>
        <w:t>• Tier 2 (SalUn): Triggered when 0.40 &lt;= s &lt; 0.80 or h &lt; 0.40. Constrains fine-tuning to top p = 0.05 salient parameters with retain loss regularization (~115× speedup).</w:t>
        <w:br/>
        <w:t>• Tier 3 (Exact Retraining): Triggered when s &gt;= 0.80 or upon verification escalation. Executes full clean retraining on D_r^(t).</w:t>
      </w:r>
    </w:p>
    <w:p>
      <w:pPr>
        <w:spacing w:before="280" w:after="80"/>
      </w:pPr>
      <w:r>
        <w:rPr>
          <w:rFonts w:ascii="Times New Roman" w:hAnsi="Times New Roman"/>
          <w:b/>
          <w:sz w:val="23"/>
        </w:rPr>
        <w:t>V. EXPERIMENTAL EVALUATION DESIGN</w:t>
      </w:r>
    </w:p>
    <w:p>
      <w:pPr>
        <w:spacing w:after="100" w:line="252" w:lineRule="auto"/>
        <w:jc w:val="both"/>
      </w:pPr>
      <w:r>
        <w:rPr>
          <w:rFonts w:ascii="Times New Roman" w:hAnsi="Times New Roman"/>
          <w:sz w:val="20"/>
        </w:rPr>
        <w:t>Model &amp; Dataset: Experiments were executed on ResNet-18 (11,173,962 parameters) trained on CIFAR-10. Baseline checkpoint performance: Test Accuracy = 93.44%, Train Retain Accuracy = 99.40%.</w:t>
        <w:br/>
        <w:t>Sequential Workloads:</w:t>
        <w:br/>
        <w:t>• Workload A (Uniform Random): 20 rounds of 500 samples each (10,000 total deleted images = 20% of training data).</w:t>
        <w:br/>
        <w:t>• Workload B (Class-Sequential): 10 rounds of 500 samples targeting one class per round (5,000 samples, H(c) = 0.0).</w:t>
        <w:br/>
        <w:t>• Workload C (Dynamic Burst): 10 rounds of 500 samples prioritized by high cross-entropy loss values.</w:t>
        <w:br/>
        <w:t>Hardware Platform: NVIDIA RTX GPU workstation with 24GB VRAM, PyTorch 2.1, and CUDA 12 backend.</w:t>
      </w:r>
    </w:p>
    <w:p>
      <w:pPr>
        <w:spacing w:before="280" w:after="80"/>
      </w:pPr>
      <w:r>
        <w:rPr>
          <w:rFonts w:ascii="Times New Roman" w:hAnsi="Times New Roman"/>
          <w:b/>
          <w:sz w:val="23"/>
        </w:rPr>
        <w:t>VI. RESULTS AND DISCUSSION</w:t>
      </w:r>
    </w:p>
    <w:p>
      <w:pPr>
        <w:spacing w:before="200" w:after="60"/>
      </w:pPr>
      <w:r>
        <w:rPr>
          <w:rFonts w:ascii="Times New Roman" w:hAnsi="Times New Roman"/>
          <w:b/>
          <w:i/>
          <w:sz w:val="20"/>
        </w:rPr>
        <w:t>A. 20-Round Sequential Benchmark (Workload A)</w:t>
      </w:r>
    </w:p>
    <w:p>
      <w:pPr>
        <w:spacing w:after="100" w:line="252" w:lineRule="auto"/>
        <w:jc w:val="both"/>
      </w:pPr>
      <w:r>
        <w:rPr>
          <w:rFonts w:ascii="Times New Roman" w:hAnsi="Times New Roman"/>
          <w:sz w:val="20"/>
        </w:rPr>
        <w:t>Table I summarizes master comparative results across 20 sequential unlearning rounds under Workload A. Static SSD suffers catastrophic representational collapse at Round 3, dropping from 99.53% retain accuracy to 49.42% at Round 2 and collapsing to 9.96% (random chance) by Round 3. Gradient Ascent fails to achieve effective amnesia, retaining 99.80% forget-set accuracy. In contrast, ASUC-SOM maintains 97.19% retain accuracy and 90.89% test generalization with 10.20% forget accuracy across the entire 20-round stream.</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tcPr>
          <w:p>
            <w:r>
              <w:rPr>
                <w:rFonts w:ascii="Times New Roman" w:hAnsi="Times New Roman"/>
                <w:b/>
                <w:sz w:val="17"/>
              </w:rPr>
              <w:t>Method</w:t>
            </w:r>
          </w:p>
        </w:tc>
        <w:tc>
          <w:tcPr>
            <w:tcW w:type="dxa" w:w="1440"/>
          </w:tcPr>
          <w:p>
            <w:r>
              <w:rPr>
                <w:rFonts w:ascii="Times New Roman" w:hAnsi="Times New Roman"/>
                <w:b/>
                <w:sz w:val="17"/>
              </w:rPr>
              <w:t>Rounds</w:t>
            </w:r>
          </w:p>
        </w:tc>
        <w:tc>
          <w:tcPr>
            <w:tcW w:type="dxa" w:w="1440"/>
          </w:tcPr>
          <w:p>
            <w:r>
              <w:rPr>
                <w:rFonts w:ascii="Times New Roman" w:hAnsi="Times New Roman"/>
                <w:b/>
                <w:sz w:val="17"/>
              </w:rPr>
              <w:t>Collapse Round</w:t>
            </w:r>
          </w:p>
        </w:tc>
        <w:tc>
          <w:tcPr>
            <w:tcW w:type="dxa" w:w="1440"/>
          </w:tcPr>
          <w:p>
            <w:r>
              <w:rPr>
                <w:rFonts w:ascii="Times New Roman" w:hAnsi="Times New Roman"/>
                <w:b/>
                <w:sz w:val="17"/>
              </w:rPr>
              <w:t>Retain Acc (%)</w:t>
            </w:r>
          </w:p>
        </w:tc>
        <w:tc>
          <w:tcPr>
            <w:tcW w:type="dxa" w:w="1440"/>
          </w:tcPr>
          <w:p>
            <w:r>
              <w:rPr>
                <w:rFonts w:ascii="Times New Roman" w:hAnsi="Times New Roman"/>
                <w:b/>
                <w:sz w:val="17"/>
              </w:rPr>
              <w:t>Test Acc (%)</w:t>
            </w:r>
          </w:p>
        </w:tc>
        <w:tc>
          <w:tcPr>
            <w:tcW w:type="dxa" w:w="1440"/>
          </w:tcPr>
          <w:p>
            <w:r>
              <w:rPr>
                <w:rFonts w:ascii="Times New Roman" w:hAnsi="Times New Roman"/>
                <w:b/>
                <w:sz w:val="17"/>
              </w:rPr>
              <w:t>Forget Acc (%)</w:t>
            </w:r>
          </w:p>
        </w:tc>
        <w:tc>
          <w:tcPr>
            <w:tcW w:type="dxa" w:w="1440"/>
          </w:tcPr>
          <w:p>
            <w:r>
              <w:rPr>
                <w:rFonts w:ascii="Times New Roman" w:hAnsi="Times New Roman"/>
                <w:b/>
                <w:sz w:val="17"/>
              </w:rPr>
              <w:t>MIA AUC</w:t>
            </w:r>
          </w:p>
        </w:tc>
      </w:tr>
      <w:tr>
        <w:tc>
          <w:tcPr>
            <w:tcW w:type="dxa" w:w="1440"/>
          </w:tcPr>
          <w:p>
            <w:r>
              <w:rPr>
                <w:rFonts w:ascii="Times New Roman" w:hAnsi="Times New Roman"/>
                <w:sz w:val="17"/>
              </w:rPr>
              <w:t>Gradient Ascent (GA)</w:t>
            </w:r>
          </w:p>
        </w:tc>
        <w:tc>
          <w:tcPr>
            <w:tcW w:type="dxa" w:w="1440"/>
          </w:tcPr>
          <w:p>
            <w:r>
              <w:rPr>
                <w:rFonts w:ascii="Times New Roman" w:hAnsi="Times New Roman"/>
                <w:sz w:val="17"/>
              </w:rPr>
              <w:t>20</w:t>
            </w:r>
          </w:p>
        </w:tc>
        <w:tc>
          <w:tcPr>
            <w:tcW w:type="dxa" w:w="1440"/>
          </w:tcPr>
          <w:p>
            <w:r>
              <w:rPr>
                <w:rFonts w:ascii="Times New Roman" w:hAnsi="Times New Roman"/>
                <w:sz w:val="17"/>
              </w:rPr>
              <w:t>None (Failed to forget)</w:t>
            </w:r>
          </w:p>
        </w:tc>
        <w:tc>
          <w:tcPr>
            <w:tcW w:type="dxa" w:w="1440"/>
          </w:tcPr>
          <w:p>
            <w:r>
              <w:rPr>
                <w:rFonts w:ascii="Times New Roman" w:hAnsi="Times New Roman"/>
                <w:sz w:val="17"/>
              </w:rPr>
              <w:t>99.47</w:t>
            </w:r>
          </w:p>
        </w:tc>
        <w:tc>
          <w:tcPr>
            <w:tcW w:type="dxa" w:w="1440"/>
          </w:tcPr>
          <w:p>
            <w:r>
              <w:rPr>
                <w:rFonts w:ascii="Times New Roman" w:hAnsi="Times New Roman"/>
                <w:sz w:val="17"/>
              </w:rPr>
              <w:t>93.19</w:t>
            </w:r>
          </w:p>
        </w:tc>
        <w:tc>
          <w:tcPr>
            <w:tcW w:type="dxa" w:w="1440"/>
          </w:tcPr>
          <w:p>
            <w:r>
              <w:rPr>
                <w:rFonts w:ascii="Times New Roman" w:hAnsi="Times New Roman"/>
                <w:sz w:val="17"/>
              </w:rPr>
              <w:t>99.80</w:t>
            </w:r>
          </w:p>
        </w:tc>
        <w:tc>
          <w:tcPr>
            <w:tcW w:type="dxa" w:w="1440"/>
          </w:tcPr>
          <w:p>
            <w:r>
              <w:rPr>
                <w:rFonts w:ascii="Times New Roman" w:hAnsi="Times New Roman"/>
                <w:sz w:val="17"/>
              </w:rPr>
              <w:t>0.998</w:t>
            </w:r>
          </w:p>
        </w:tc>
      </w:tr>
      <w:tr>
        <w:tc>
          <w:tcPr>
            <w:tcW w:type="dxa" w:w="1440"/>
          </w:tcPr>
          <w:p>
            <w:r>
              <w:rPr>
                <w:rFonts w:ascii="Times New Roman" w:hAnsi="Times New Roman"/>
                <w:sz w:val="17"/>
              </w:rPr>
              <w:t>SSD (Foster et al., 2024)</w:t>
            </w:r>
          </w:p>
        </w:tc>
        <w:tc>
          <w:tcPr>
            <w:tcW w:type="dxa" w:w="1440"/>
          </w:tcPr>
          <w:p>
            <w:r>
              <w:rPr>
                <w:rFonts w:ascii="Times New Roman" w:hAnsi="Times New Roman"/>
                <w:sz w:val="17"/>
              </w:rPr>
              <w:t>20</w:t>
            </w:r>
          </w:p>
        </w:tc>
        <w:tc>
          <w:tcPr>
            <w:tcW w:type="dxa" w:w="1440"/>
          </w:tcPr>
          <w:p>
            <w:r>
              <w:rPr>
                <w:rFonts w:ascii="Times New Roman" w:hAnsi="Times New Roman"/>
                <w:sz w:val="17"/>
              </w:rPr>
              <w:t>Round 3 (Collapse)</w:t>
            </w:r>
          </w:p>
        </w:tc>
        <w:tc>
          <w:tcPr>
            <w:tcW w:type="dxa" w:w="1440"/>
          </w:tcPr>
          <w:p>
            <w:r>
              <w:rPr>
                <w:rFonts w:ascii="Times New Roman" w:hAnsi="Times New Roman"/>
                <w:sz w:val="17"/>
              </w:rPr>
              <w:t>9.96</w:t>
            </w:r>
          </w:p>
        </w:tc>
        <w:tc>
          <w:tcPr>
            <w:tcW w:type="dxa" w:w="1440"/>
          </w:tcPr>
          <w:p>
            <w:r>
              <w:rPr>
                <w:rFonts w:ascii="Times New Roman" w:hAnsi="Times New Roman"/>
                <w:sz w:val="17"/>
              </w:rPr>
              <w:t>10.00</w:t>
            </w:r>
          </w:p>
        </w:tc>
        <w:tc>
          <w:tcPr>
            <w:tcW w:type="dxa" w:w="1440"/>
          </w:tcPr>
          <w:p>
            <w:r>
              <w:rPr>
                <w:rFonts w:ascii="Times New Roman" w:hAnsi="Times New Roman"/>
                <w:sz w:val="17"/>
              </w:rPr>
              <w:t>10.00</w:t>
            </w:r>
          </w:p>
        </w:tc>
        <w:tc>
          <w:tcPr>
            <w:tcW w:type="dxa" w:w="1440"/>
          </w:tcPr>
          <w:p>
            <w:r>
              <w:rPr>
                <w:rFonts w:ascii="Times New Roman" w:hAnsi="Times New Roman"/>
                <w:sz w:val="17"/>
              </w:rPr>
              <w:t>0.500</w:t>
            </w:r>
          </w:p>
        </w:tc>
      </w:tr>
      <w:tr>
        <w:tc>
          <w:tcPr>
            <w:tcW w:type="dxa" w:w="1440"/>
          </w:tcPr>
          <w:p>
            <w:r>
              <w:rPr>
                <w:rFonts w:ascii="Times New Roman" w:hAnsi="Times New Roman"/>
                <w:sz w:val="17"/>
              </w:rPr>
              <w:t>SalUn (Fan et al., 2024)</w:t>
            </w:r>
          </w:p>
        </w:tc>
        <w:tc>
          <w:tcPr>
            <w:tcW w:type="dxa" w:w="1440"/>
          </w:tcPr>
          <w:p>
            <w:r>
              <w:rPr>
                <w:rFonts w:ascii="Times New Roman" w:hAnsi="Times New Roman"/>
                <w:sz w:val="17"/>
              </w:rPr>
              <w:t>20</w:t>
            </w:r>
          </w:p>
        </w:tc>
        <w:tc>
          <w:tcPr>
            <w:tcW w:type="dxa" w:w="1440"/>
          </w:tcPr>
          <w:p>
            <w:r>
              <w:rPr>
                <w:rFonts w:ascii="Times New Roman" w:hAnsi="Times New Roman"/>
                <w:sz w:val="17"/>
              </w:rPr>
              <w:t>None (&gt;20 Stable)</w:t>
            </w:r>
          </w:p>
        </w:tc>
        <w:tc>
          <w:tcPr>
            <w:tcW w:type="dxa" w:w="1440"/>
          </w:tcPr>
          <w:p>
            <w:r>
              <w:rPr>
                <w:rFonts w:ascii="Times New Roman" w:hAnsi="Times New Roman"/>
                <w:sz w:val="17"/>
              </w:rPr>
              <w:t>95.03</w:t>
            </w:r>
          </w:p>
        </w:tc>
        <w:tc>
          <w:tcPr>
            <w:tcW w:type="dxa" w:w="1440"/>
          </w:tcPr>
          <w:p>
            <w:r>
              <w:rPr>
                <w:rFonts w:ascii="Times New Roman" w:hAnsi="Times New Roman"/>
                <w:sz w:val="17"/>
              </w:rPr>
              <w:t>88.03</w:t>
            </w:r>
          </w:p>
        </w:tc>
        <w:tc>
          <w:tcPr>
            <w:tcW w:type="dxa" w:w="1440"/>
          </w:tcPr>
          <w:p>
            <w:r>
              <w:rPr>
                <w:rFonts w:ascii="Times New Roman" w:hAnsi="Times New Roman"/>
                <w:sz w:val="17"/>
              </w:rPr>
              <w:t>10.40</w:t>
            </w:r>
          </w:p>
        </w:tc>
        <w:tc>
          <w:tcPr>
            <w:tcW w:type="dxa" w:w="1440"/>
          </w:tcPr>
          <w:p>
            <w:r>
              <w:rPr>
                <w:rFonts w:ascii="Times New Roman" w:hAnsi="Times New Roman"/>
                <w:sz w:val="17"/>
              </w:rPr>
              <w:t>0.538</w:t>
            </w:r>
          </w:p>
        </w:tc>
      </w:tr>
      <w:tr>
        <w:tc>
          <w:tcPr>
            <w:tcW w:type="dxa" w:w="1440"/>
          </w:tcPr>
          <w:p>
            <w:r>
              <w:rPr>
                <w:rFonts w:ascii="Times New Roman" w:hAnsi="Times New Roman"/>
                <w:sz w:val="17"/>
              </w:rPr>
              <w:t>Exact Retraining (Gold)</w:t>
            </w:r>
          </w:p>
        </w:tc>
        <w:tc>
          <w:tcPr>
            <w:tcW w:type="dxa" w:w="1440"/>
          </w:tcPr>
          <w:p>
            <w:r>
              <w:rPr>
                <w:rFonts w:ascii="Times New Roman" w:hAnsi="Times New Roman"/>
                <w:sz w:val="17"/>
              </w:rPr>
              <w:t>20</w:t>
            </w:r>
          </w:p>
        </w:tc>
        <w:tc>
          <w:tcPr>
            <w:tcW w:type="dxa" w:w="1440"/>
          </w:tcPr>
          <w:p>
            <w:r>
              <w:rPr>
                <w:rFonts w:ascii="Times New Roman" w:hAnsi="Times New Roman"/>
                <w:sz w:val="17"/>
              </w:rPr>
              <w:t>None (Gold Standard)</w:t>
            </w:r>
          </w:p>
        </w:tc>
        <w:tc>
          <w:tcPr>
            <w:tcW w:type="dxa" w:w="1440"/>
          </w:tcPr>
          <w:p>
            <w:r>
              <w:rPr>
                <w:rFonts w:ascii="Times New Roman" w:hAnsi="Times New Roman"/>
                <w:sz w:val="17"/>
              </w:rPr>
              <w:t>99.10</w:t>
            </w:r>
          </w:p>
        </w:tc>
        <w:tc>
          <w:tcPr>
            <w:tcW w:type="dxa" w:w="1440"/>
          </w:tcPr>
          <w:p>
            <w:r>
              <w:rPr>
                <w:rFonts w:ascii="Times New Roman" w:hAnsi="Times New Roman"/>
                <w:sz w:val="17"/>
              </w:rPr>
              <w:t>92.70</w:t>
            </w:r>
          </w:p>
        </w:tc>
        <w:tc>
          <w:tcPr>
            <w:tcW w:type="dxa" w:w="1440"/>
          </w:tcPr>
          <w:p>
            <w:r>
              <w:rPr>
                <w:rFonts w:ascii="Times New Roman" w:hAnsi="Times New Roman"/>
                <w:sz w:val="17"/>
              </w:rPr>
              <w:t>9.20</w:t>
            </w:r>
          </w:p>
        </w:tc>
        <w:tc>
          <w:tcPr>
            <w:tcW w:type="dxa" w:w="1440"/>
          </w:tcPr>
          <w:p>
            <w:r>
              <w:rPr>
                <w:rFonts w:ascii="Times New Roman" w:hAnsi="Times New Roman"/>
                <w:sz w:val="17"/>
              </w:rPr>
              <w:t>0.512</w:t>
            </w:r>
          </w:p>
        </w:tc>
      </w:tr>
      <w:tr>
        <w:tc>
          <w:tcPr>
            <w:tcW w:type="dxa" w:w="1440"/>
          </w:tcPr>
          <w:p>
            <w:r>
              <w:rPr>
                <w:rFonts w:ascii="Times New Roman" w:hAnsi="Times New Roman"/>
                <w:b/>
                <w:sz w:val="17"/>
              </w:rPr>
              <w:t>ASUC-SOM (Ours)</w:t>
            </w:r>
          </w:p>
        </w:tc>
        <w:tc>
          <w:tcPr>
            <w:tcW w:type="dxa" w:w="1440"/>
          </w:tcPr>
          <w:p>
            <w:r>
              <w:rPr>
                <w:rFonts w:ascii="Times New Roman" w:hAnsi="Times New Roman"/>
                <w:b/>
                <w:sz w:val="17"/>
              </w:rPr>
              <w:t>20</w:t>
            </w:r>
          </w:p>
        </w:tc>
        <w:tc>
          <w:tcPr>
            <w:tcW w:type="dxa" w:w="1440"/>
          </w:tcPr>
          <w:p>
            <w:r>
              <w:rPr>
                <w:rFonts w:ascii="Times New Roman" w:hAnsi="Times New Roman"/>
                <w:b/>
                <w:sz w:val="17"/>
              </w:rPr>
              <w:t>None (&gt;20 Stable)</w:t>
            </w:r>
          </w:p>
        </w:tc>
        <w:tc>
          <w:tcPr>
            <w:tcW w:type="dxa" w:w="1440"/>
          </w:tcPr>
          <w:p>
            <w:r>
              <w:rPr>
                <w:rFonts w:ascii="Times New Roman" w:hAnsi="Times New Roman"/>
                <w:b/>
                <w:sz w:val="17"/>
              </w:rPr>
              <w:t>97.19</w:t>
            </w:r>
          </w:p>
        </w:tc>
        <w:tc>
          <w:tcPr>
            <w:tcW w:type="dxa" w:w="1440"/>
          </w:tcPr>
          <w:p>
            <w:r>
              <w:rPr>
                <w:rFonts w:ascii="Times New Roman" w:hAnsi="Times New Roman"/>
                <w:b/>
                <w:sz w:val="17"/>
              </w:rPr>
              <w:t>90.89</w:t>
            </w:r>
          </w:p>
        </w:tc>
        <w:tc>
          <w:tcPr>
            <w:tcW w:type="dxa" w:w="1440"/>
          </w:tcPr>
          <w:p>
            <w:r>
              <w:rPr>
                <w:rFonts w:ascii="Times New Roman" w:hAnsi="Times New Roman"/>
                <w:b/>
                <w:sz w:val="17"/>
              </w:rPr>
              <w:t>10.20</w:t>
            </w:r>
          </w:p>
        </w:tc>
        <w:tc>
          <w:tcPr>
            <w:tcW w:type="dxa" w:w="1440"/>
          </w:tcPr>
          <w:p>
            <w:r>
              <w:rPr>
                <w:rFonts w:ascii="Times New Roman" w:hAnsi="Times New Roman"/>
                <w:b/>
                <w:sz w:val="17"/>
              </w:rPr>
              <w:t>0.546</w:t>
            </w:r>
          </w:p>
        </w:tc>
      </w:tr>
    </w:tbl>
    <w:p>
      <w:pPr>
        <w:spacing w:after="200"/>
        <w:jc w:val="center"/>
      </w:pPr>
      <w:r>
        <w:rPr>
          <w:i/>
          <w:sz w:val="17"/>
        </w:rPr>
        <w:t>TABLE I: Master sequential unlearning comparison on CIFAR-10 ResNet-18 (Workload A, 20 Rounds).</w:t>
      </w:r>
    </w:p>
    <w:p>
      <w:pPr>
        <w:spacing w:before="160" w:after="40"/>
        <w:jc w:val="center"/>
      </w:pPr>
      <w:r>
        <w:drawing>
          <wp:inline xmlns:a="http://schemas.openxmlformats.org/drawingml/2006/main" xmlns:pic="http://schemas.openxmlformats.org/drawingml/2006/picture">
            <wp:extent cx="5303520" cy="2072213"/>
            <wp:docPr id="1" name="Picture 1"/>
            <wp:cNvGraphicFramePr>
              <a:graphicFrameLocks noChangeAspect="1"/>
            </wp:cNvGraphicFramePr>
            <a:graphic>
              <a:graphicData uri="http://schemas.openxmlformats.org/drawingml/2006/picture">
                <pic:pic>
                  <pic:nvPicPr>
                    <pic:cNvPr id="0" name="fig1_sequential_accuracy.png"/>
                    <pic:cNvPicPr/>
                  </pic:nvPicPr>
                  <pic:blipFill>
                    <a:blip r:embed="rId9"/>
                    <a:stretch>
                      <a:fillRect/>
                    </a:stretch>
                  </pic:blipFill>
                  <pic:spPr>
                    <a:xfrm>
                      <a:off x="0" y="0"/>
                      <a:ext cx="5303520" cy="2072213"/>
                    </a:xfrm>
                    <a:prstGeom prst="rect"/>
                  </pic:spPr>
                </pic:pic>
              </a:graphicData>
            </a:graphic>
          </wp:inline>
        </w:drawing>
      </w:r>
    </w:p>
    <w:p>
      <w:pPr>
        <w:spacing w:after="200"/>
        <w:jc w:val="center"/>
      </w:pPr>
      <w:r>
        <w:rPr>
          <w:rFonts w:ascii="Times New Roman" w:hAnsi="Times New Roman"/>
          <w:i/>
          <w:sz w:val="17"/>
        </w:rPr>
        <w:t>Fig. 1. Sequential retain and test accuracy trajectories across 20 unlearning rounds on CIFAR-10 ResNet-18. Static SSD exhibits catastrophic collapse at Round 3, while ASUC-SOM sustains &gt;97% retain utility throughout 20 rounds.</w:t>
      </w:r>
    </w:p>
    <w:p>
      <w:pPr>
        <w:spacing w:before="200" w:after="60"/>
      </w:pPr>
      <w:r>
        <w:rPr>
          <w:rFonts w:ascii="Times New Roman" w:hAnsi="Times New Roman"/>
          <w:b/>
          <w:i/>
          <w:sz w:val="20"/>
        </w:rPr>
        <w:t>B. Subspace Overlap Dynamics &amp; Fatigue Trajectory</w:t>
      </w:r>
    </w:p>
    <w:p>
      <w:pPr>
        <w:spacing w:after="100" w:line="252" w:lineRule="auto"/>
        <w:jc w:val="both"/>
      </w:pPr>
      <w:r>
        <w:rPr>
          <w:rFonts w:ascii="Times New Roman" w:hAnsi="Times New Roman"/>
          <w:sz w:val="20"/>
        </w:rPr>
        <w:t>Fig. 2 illustrates the dynamic trajectory of SOM projection scores alongside cumulative parameter drift ||θ_t - θ_0||_2. As sequential deletion rounds proceed, scalar weight distance accumulates monotonically. However, SOM projection overlap reflects true geometric parameter fatigue. When SOM crosses the Amber threshold (s &gt;= 0.40), continuing with unweighted single-pass dampening triggers exponential utility loss. ASUC-SOM's automated escalation to Tier 2 (SalUn) stabilizes the parameter trajectory, maintaining healthy subspace orthogonality.</w:t>
      </w:r>
    </w:p>
    <w:p>
      <w:pPr>
        <w:spacing w:before="160" w:after="40"/>
        <w:jc w:val="center"/>
      </w:pPr>
      <w:r>
        <w:drawing>
          <wp:inline xmlns:a="http://schemas.openxmlformats.org/drawingml/2006/main" xmlns:pic="http://schemas.openxmlformats.org/drawingml/2006/picture">
            <wp:extent cx="5303520" cy="2090810"/>
            <wp:docPr id="2" name="Picture 2"/>
            <wp:cNvGraphicFramePr>
              <a:graphicFrameLocks noChangeAspect="1"/>
            </wp:cNvGraphicFramePr>
            <a:graphic>
              <a:graphicData uri="http://schemas.openxmlformats.org/drawingml/2006/picture">
                <pic:pic>
                  <pic:nvPicPr>
                    <pic:cNvPr id="0" name="fig2_som_dynamics_drift.png"/>
                    <pic:cNvPicPr/>
                  </pic:nvPicPr>
                  <pic:blipFill>
                    <a:blip r:embed="rId10"/>
                    <a:stretch>
                      <a:fillRect/>
                    </a:stretch>
                  </pic:blipFill>
                  <pic:spPr>
                    <a:xfrm>
                      <a:off x="0" y="0"/>
                      <a:ext cx="5303520" cy="2090810"/>
                    </a:xfrm>
                    <a:prstGeom prst="rect"/>
                  </pic:spPr>
                </pic:pic>
              </a:graphicData>
            </a:graphic>
          </wp:inline>
        </w:drawing>
      </w:r>
    </w:p>
    <w:p>
      <w:pPr>
        <w:spacing w:after="200"/>
        <w:jc w:val="center"/>
      </w:pPr>
      <w:r>
        <w:rPr>
          <w:rFonts w:ascii="Times New Roman" w:hAnsi="Times New Roman"/>
          <w:i/>
          <w:sz w:val="17"/>
        </w:rPr>
        <w:t>Fig. 2. Subspace Overlap Metric (SOM) trajectory and parameter drift ||Δθ|| over 20 rounds. Green (s &lt; 0.40), Amber (0.40 &lt;= s &lt; 0.80), and Red (s &gt;= 0.80) regions dictate dynamic tier dispatch.</w:t>
      </w:r>
    </w:p>
    <w:p>
      <w:pPr>
        <w:spacing w:before="200" w:after="60"/>
      </w:pPr>
      <w:r>
        <w:rPr>
          <w:rFonts w:ascii="Times New Roman" w:hAnsi="Times New Roman"/>
          <w:b/>
          <w:i/>
          <w:sz w:val="20"/>
        </w:rPr>
        <w:t>C. Multi-Workload Stress Testing (Workloads B &amp; C)</w:t>
      </w:r>
    </w:p>
    <w:p>
      <w:pPr>
        <w:spacing w:after="100" w:line="252" w:lineRule="auto"/>
        <w:jc w:val="both"/>
      </w:pPr>
      <w:r>
        <w:rPr>
          <w:rFonts w:ascii="Times New Roman" w:hAnsi="Times New Roman"/>
          <w:sz w:val="20"/>
        </w:rPr>
        <w:t>To evaluate localized and adversarial erasure stress, we benchmarked across Workload B (Class-Sequential, 10 rounds) and Workload C (High-Loss Deletions, 10 rounds). On Workload B, zero class entropy (H(c) = 0.0) immediately triggered Tier 2 routing, preserving 98.26% retain accuracy and 92.33% test generalization without class filter destruction. On Workload C, high-loss gradient spikes were managed smoothly, achieving 99.11% retain accuracy and 90.75% test accuracy.</w:t>
      </w:r>
    </w:p>
    <w:p>
      <w:pPr>
        <w:spacing w:before="160" w:after="40"/>
        <w:jc w:val="center"/>
      </w:pPr>
      <w:r>
        <w:drawing>
          <wp:inline xmlns:a="http://schemas.openxmlformats.org/drawingml/2006/main" xmlns:pic="http://schemas.openxmlformats.org/drawingml/2006/picture">
            <wp:extent cx="5303520" cy="3382163"/>
            <wp:docPr id="3" name="Picture 3"/>
            <wp:cNvGraphicFramePr>
              <a:graphicFrameLocks noChangeAspect="1"/>
            </wp:cNvGraphicFramePr>
            <a:graphic>
              <a:graphicData uri="http://schemas.openxmlformats.org/drawingml/2006/picture">
                <pic:pic>
                  <pic:nvPicPr>
                    <pic:cNvPr id="0" name="fig3_speedup_pareto.png"/>
                    <pic:cNvPicPr/>
                  </pic:nvPicPr>
                  <pic:blipFill>
                    <a:blip r:embed="rId11"/>
                    <a:stretch>
                      <a:fillRect/>
                    </a:stretch>
                  </pic:blipFill>
                  <pic:spPr>
                    <a:xfrm>
                      <a:off x="0" y="0"/>
                      <a:ext cx="5303520" cy="3382163"/>
                    </a:xfrm>
                    <a:prstGeom prst="rect"/>
                  </pic:spPr>
                </pic:pic>
              </a:graphicData>
            </a:graphic>
          </wp:inline>
        </w:drawing>
      </w:r>
    </w:p>
    <w:p>
      <w:pPr>
        <w:spacing w:after="200"/>
        <w:jc w:val="center"/>
      </w:pPr>
      <w:r>
        <w:rPr>
          <w:rFonts w:ascii="Times New Roman" w:hAnsi="Times New Roman"/>
          <w:i/>
          <w:sz w:val="17"/>
        </w:rPr>
        <w:t>Fig. 3. Retain Accuracy vs. Compute Time Pareto frontier. ASUC-SOM achieves the optimal balance of high utility and low compute overhead.</w:t>
      </w:r>
    </w:p>
    <w:p>
      <w:pPr>
        <w:spacing w:before="160" w:after="40"/>
        <w:jc w:val="center"/>
      </w:pPr>
      <w:r>
        <w:drawing>
          <wp:inline xmlns:a="http://schemas.openxmlformats.org/drawingml/2006/main" xmlns:pic="http://schemas.openxmlformats.org/drawingml/2006/picture">
            <wp:extent cx="5303520" cy="4657714"/>
            <wp:docPr id="4" name="Picture 4"/>
            <wp:cNvGraphicFramePr>
              <a:graphicFrameLocks noChangeAspect="1"/>
            </wp:cNvGraphicFramePr>
            <a:graphic>
              <a:graphicData uri="http://schemas.openxmlformats.org/drawingml/2006/picture">
                <pic:pic>
                  <pic:nvPicPr>
                    <pic:cNvPr id="0" name="fig4_class_erasure_radar.png"/>
                    <pic:cNvPicPr/>
                  </pic:nvPicPr>
                  <pic:blipFill>
                    <a:blip r:embed="rId12"/>
                    <a:stretch>
                      <a:fillRect/>
                    </a:stretch>
                  </pic:blipFill>
                  <pic:spPr>
                    <a:xfrm>
                      <a:off x="0" y="0"/>
                      <a:ext cx="5303520" cy="4657714"/>
                    </a:xfrm>
                    <a:prstGeom prst="rect"/>
                  </pic:spPr>
                </pic:pic>
              </a:graphicData>
            </a:graphic>
          </wp:inline>
        </w:drawing>
      </w:r>
    </w:p>
    <w:p>
      <w:pPr>
        <w:spacing w:after="200"/>
        <w:jc w:val="center"/>
      </w:pPr>
      <w:r>
        <w:rPr>
          <w:rFonts w:ascii="Times New Roman" w:hAnsi="Times New Roman"/>
          <w:i/>
          <w:sz w:val="17"/>
        </w:rPr>
        <w:t>Fig. 4. Class-wise retention radar profile across all 10 CIFAR-10 classes post-unlearning, confirming uniform utility preservation.</w:t>
      </w:r>
    </w:p>
    <w:p>
      <w:pPr>
        <w:spacing w:before="200" w:after="60"/>
      </w:pPr>
      <w:r>
        <w:rPr>
          <w:rFonts w:ascii="Times New Roman" w:hAnsi="Times New Roman"/>
          <w:b/>
          <w:i/>
          <w:sz w:val="20"/>
        </w:rPr>
        <w:t>D. Comprehensive Multi-Metric Composite Visualizer</w:t>
      </w:r>
    </w:p>
    <w:p>
      <w:pPr>
        <w:spacing w:after="100" w:line="252" w:lineRule="auto"/>
        <w:jc w:val="both"/>
      </w:pPr>
      <w:r>
        <w:rPr>
          <w:rFonts w:ascii="Times New Roman" w:hAnsi="Times New Roman"/>
          <w:sz w:val="20"/>
        </w:rPr>
        <w:t>Fig. 5 provides a unified 4-panel publication composite summarizing: (a) Sequential accuracy trajectories, (b) Parameter drift vs. SOM dynamics, (c) Compute speedup Pareto frontier, and (d) Class-wise retention radar metrics.</w:t>
      </w:r>
    </w:p>
    <w:p>
      <w:pPr>
        <w:spacing w:before="160" w:after="40"/>
        <w:jc w:val="center"/>
      </w:pPr>
      <w:r>
        <w:drawing>
          <wp:inline xmlns:a="http://schemas.openxmlformats.org/drawingml/2006/main" xmlns:pic="http://schemas.openxmlformats.org/drawingml/2006/picture">
            <wp:extent cx="5303520" cy="3886910"/>
            <wp:docPr id="5" name="Picture 5"/>
            <wp:cNvGraphicFramePr>
              <a:graphicFrameLocks noChangeAspect="1"/>
            </wp:cNvGraphicFramePr>
            <a:graphic>
              <a:graphicData uri="http://schemas.openxmlformats.org/drawingml/2006/picture">
                <pic:pic>
                  <pic:nvPicPr>
                    <pic:cNvPr id="0" name="fig5_paper_composite_2x2.png"/>
                    <pic:cNvPicPr/>
                  </pic:nvPicPr>
                  <pic:blipFill>
                    <a:blip r:embed="rId13"/>
                    <a:stretch>
                      <a:fillRect/>
                    </a:stretch>
                  </pic:blipFill>
                  <pic:spPr>
                    <a:xfrm>
                      <a:off x="0" y="0"/>
                      <a:ext cx="5303520" cy="3886910"/>
                    </a:xfrm>
                    <a:prstGeom prst="rect"/>
                  </pic:spPr>
                </pic:pic>
              </a:graphicData>
            </a:graphic>
          </wp:inline>
        </w:drawing>
      </w:r>
    </w:p>
    <w:p>
      <w:pPr>
        <w:spacing w:after="200"/>
        <w:jc w:val="center"/>
      </w:pPr>
      <w:r>
        <w:rPr>
          <w:rFonts w:ascii="Times New Roman" w:hAnsi="Times New Roman"/>
          <w:i/>
          <w:sz w:val="17"/>
        </w:rPr>
        <w:t>Fig. 5. Master 4-panel composite evaluation for IEEE publication submission.</w:t>
      </w:r>
    </w:p>
    <w:p>
      <w:pPr>
        <w:spacing w:before="280" w:after="80"/>
      </w:pPr>
      <w:r>
        <w:rPr>
          <w:rFonts w:ascii="Times New Roman" w:hAnsi="Times New Roman"/>
          <w:b/>
          <w:sz w:val="23"/>
        </w:rPr>
        <w:t>VII. LIMITATIONS AND OPEN CHALLENGES</w:t>
      </w:r>
    </w:p>
    <w:p>
      <w:pPr>
        <w:spacing w:after="100" w:line="252" w:lineRule="auto"/>
        <w:jc w:val="both"/>
      </w:pPr>
      <w:r>
        <w:rPr>
          <w:rFonts w:ascii="Times New Roman" w:hAnsi="Times New Roman"/>
          <w:sz w:val="20"/>
        </w:rPr>
        <w:t>We identify four key operational boundaries: (1) Orthonormal basis maintenance incurs O(d * k) projection overhead per round, which for billion-parameter vision-language models will require low-rank LoRA subspace approximations; (2) The verification gate relies on an anchor retain subset, which must be kept curated and non-leaking; (3) Static threshold bounds (0.40 and 0.80) are empirically calibrated for convolutional architectures and may require adaptive learning rate scaling for transformers; and (4) While membership inference AUC is maintained at &lt;= 0.55, cryptographic differential privacy bounds during sequential deletion remain an open theoretical pursuit.</w:t>
      </w:r>
    </w:p>
    <w:p>
      <w:pPr>
        <w:spacing w:before="280" w:after="80"/>
      </w:pPr>
      <w:r>
        <w:rPr>
          <w:rFonts w:ascii="Times New Roman" w:hAnsi="Times New Roman"/>
          <w:b/>
          <w:sz w:val="23"/>
        </w:rPr>
        <w:t>VIII. CONCLUSION</w:t>
      </w:r>
    </w:p>
    <w:p>
      <w:pPr>
        <w:spacing w:after="100" w:line="252" w:lineRule="auto"/>
        <w:jc w:val="both"/>
      </w:pPr>
      <w:r>
        <w:rPr>
          <w:rFonts w:ascii="Times New Roman" w:hAnsi="Times New Roman"/>
          <w:sz w:val="20"/>
        </w:rPr>
        <w:t>This paper establishes that sequential machine unlearning cannot be reliably addressed through static one-pass heuristics. By reformulating unlearning as a closed-loop geometric control problem, ASUC-SOM continuously monitors parameter subspace fatigue via SOM, dynamically routes deletion requests across adaptive primitives, and enforces verifiable post-erasure safety guarantees. Our extensive empirical results on CIFAR-10 ResNet-18 confirm that ASUC-SOM eliminates catastrophic rank collapse across 20 sequential deletion rounds while delivering up to 148× compute speedup over naive retraining, providing a robust, deployable blueprint for GDPR Article 17 compliance in production machine learning.</w:t>
      </w:r>
    </w:p>
    <w:p>
      <w:pPr>
        <w:spacing w:before="280" w:after="80"/>
      </w:pPr>
      <w:r>
        <w:rPr>
          <w:rFonts w:ascii="Times New Roman" w:hAnsi="Times New Roman"/>
          <w:b/>
          <w:sz w:val="23"/>
        </w:rPr>
        <w:t>REFERENCES</w:t>
      </w:r>
    </w:p>
    <w:p>
      <w:pPr>
        <w:spacing w:after="60"/>
        <w:ind w:left="360" w:hanging="360"/>
      </w:pPr>
      <w:r>
        <w:rPr>
          <w:rFonts w:ascii="Times New Roman" w:hAnsi="Times New Roman"/>
          <w:sz w:val="17"/>
        </w:rPr>
        <w:t>[1] European Parliament and Council, "Regulation (EU) 2016/679 (General Data Protection Regulation)," Art. 17, Official J. Eur. Union, 2016.</w:t>
      </w:r>
    </w:p>
    <w:p>
      <w:pPr>
        <w:spacing w:after="60"/>
        <w:ind w:left="360" w:hanging="360"/>
      </w:pPr>
      <w:r>
        <w:rPr>
          <w:rFonts w:ascii="Times New Roman" w:hAnsi="Times New Roman"/>
          <w:sz w:val="17"/>
        </w:rPr>
        <w:t>[2] Y. Cao and J. Yang, "Towards making systems forget with machine unlearning," in Proc. IEEE Symp. Security and Privacy, 2015, pp. 463–480.</w:t>
      </w:r>
    </w:p>
    <w:p>
      <w:pPr>
        <w:spacing w:after="60"/>
        <w:ind w:left="360" w:hanging="360"/>
      </w:pPr>
      <w:r>
        <w:rPr>
          <w:rFonts w:ascii="Times New Roman" w:hAnsi="Times New Roman"/>
          <w:sz w:val="17"/>
        </w:rPr>
        <w:t>[3] L. Bourtoule et al., "Machine unlearning," in Proc. IEEE Symp. Security and Privacy, 2021, pp. 141–159.</w:t>
      </w:r>
    </w:p>
    <w:p>
      <w:pPr>
        <w:spacing w:after="60"/>
        <w:ind w:left="360" w:hanging="360"/>
      </w:pPr>
      <w:r>
        <w:rPr>
          <w:rFonts w:ascii="Times New Roman" w:hAnsi="Times New Roman"/>
          <w:sz w:val="17"/>
        </w:rPr>
        <w:t>[4] J. Foster, S. Schoepf, and A. Brintrup, "Fast machine unlearning without retraining through selective synaptic dampening," in Proc. AAAI Conf. Artificial Intelligence, vol. 38, 2024, pp. 12043–12051.</w:t>
      </w:r>
    </w:p>
    <w:p>
      <w:pPr>
        <w:spacing w:after="60"/>
        <w:ind w:left="360" w:hanging="360"/>
      </w:pPr>
      <w:r>
        <w:rPr>
          <w:rFonts w:ascii="Times New Roman" w:hAnsi="Times New Roman"/>
          <w:sz w:val="17"/>
        </w:rPr>
        <w:t>[5] C. Fan, J. Liu, Y. Zhang, E. Wong, D. Wei, and S. Liu, "SalUn: Empowering machine unlearning via gradient-based weight saliency in both image classification and generation," in Proc. Int. Conf. Learning Representations, 2024.</w:t>
      </w:r>
    </w:p>
    <w:p>
      <w:pPr>
        <w:spacing w:after="60"/>
        <w:ind w:left="360" w:hanging="360"/>
      </w:pPr>
      <w:r>
        <w:rPr>
          <w:rFonts w:ascii="Times New Roman" w:hAnsi="Times New Roman"/>
          <w:sz w:val="17"/>
        </w:rPr>
        <w:t>[6] J. Kirkpatrick et al., "Overcoming catastrophic forgetting in neural networks," Proc. Natl. Acad. Sci. USA, vol. 114, no. 13, pp. 3521–3526, 2017.</w:t>
      </w:r>
    </w:p>
    <w:p>
      <w:pPr>
        <w:spacing w:after="60"/>
        <w:ind w:left="360" w:hanging="360"/>
      </w:pPr>
      <w:r>
        <w:rPr>
          <w:rFonts w:ascii="Times New Roman" w:hAnsi="Times New Roman"/>
          <w:sz w:val="17"/>
        </w:rPr>
        <w:t>[7] A. Golatkar, A. Achille, and S. Soatto, "Eternal sunshine of the spotless net: Selective forgetting in deep networks," in Proc. IEEE/CVF Conf. Computer Vision and Pattern Recognition, 2020, pp. 9304–9312.</w:t>
      </w:r>
    </w:p>
    <w:p>
      <w:pPr>
        <w:spacing w:after="60"/>
        <w:ind w:left="360" w:hanging="360"/>
      </w:pPr>
      <w:r>
        <w:rPr>
          <w:rFonts w:ascii="Times New Roman" w:hAnsi="Times New Roman"/>
          <w:sz w:val="17"/>
        </w:rPr>
        <w:t>[8] A. Thudi, G. Deza, V. Chandrasekaran, and N. Papernot, "Unrolling SGD: Understanding factors influencing machine unlearning," in Proc. IEEE Eur. Symp. Security and Privacy, 2022, pp. 303–319.</w:t>
      </w:r>
    </w:p>
    <w:p>
      <w:pPr>
        <w:spacing w:after="60"/>
        <w:ind w:left="360" w:hanging="360"/>
      </w:pPr>
      <w:r>
        <w:rPr>
          <w:rFonts w:ascii="Times New Roman" w:hAnsi="Times New Roman"/>
          <w:sz w:val="17"/>
        </w:rPr>
        <w:t>[9] R. Shokri, M. Stronati, C. Song, and V. Shmatikov, "Membership inference attacks against machine learning models," in Proc. IEEE Symp. Security and Privacy, 2017, pp. 3–18.</w:t>
      </w:r>
    </w:p>
    <w:p>
      <w:pPr>
        <w:spacing w:after="60"/>
        <w:ind w:left="360" w:hanging="360"/>
      </w:pPr>
      <w:r>
        <w:rPr>
          <w:rFonts w:ascii="Times New Roman" w:hAnsi="Times New Roman"/>
          <w:sz w:val="17"/>
        </w:rPr>
        <w:t>[10] V. S. Chundawat, A. K. Tarun, M. Mandal, and M. Kankanhalli, "Can bad teaching induce forgetting? Unlearning in deep networks using an incompetent teacher," in Proc. AAAI Conf. Artificial Intelligence, vol. 37, 2023.</w:t>
      </w:r>
    </w:p>
    <w:p>
      <w:pPr>
        <w:spacing w:after="60"/>
        <w:ind w:left="360" w:hanging="360"/>
      </w:pPr>
      <w:r>
        <w:rPr>
          <w:rFonts w:ascii="Times New Roman" w:hAnsi="Times New Roman"/>
          <w:sz w:val="17"/>
        </w:rPr>
        <w:t>[11] A. Krizhevsky, "Learning multiple layers of features from tiny images," Univ. Toronto, Tech. Rep., 2009.</w:t>
      </w:r>
    </w:p>
    <w:p>
      <w:pPr>
        <w:spacing w:after="60"/>
        <w:ind w:left="360" w:hanging="360"/>
      </w:pPr>
      <w:r>
        <w:rPr>
          <w:rFonts w:ascii="Times New Roman" w:hAnsi="Times New Roman"/>
          <w:sz w:val="17"/>
        </w:rPr>
        <w:t>[12] V. Gupta, C. Jung, S. Neel, A. Roth, S. Sharifi-Malvajerdi, and C. Waites, "Adaptive machine unlearning," in Proc. Adv. Neural Information Processing Systems, vol. 34, 2021.</w:t>
      </w:r>
    </w:p>
    <w:p>
      <w:pPr>
        <w:spacing w:after="60"/>
        <w:ind w:left="360" w:hanging="360"/>
      </w:pPr>
      <w:r>
        <w:rPr>
          <w:rFonts w:ascii="Times New Roman" w:hAnsi="Times New Roman"/>
          <w:sz w:val="17"/>
        </w:rPr>
        <w:t>[13] L. Graves, V. Nagisetty, and V. Ganesh, "Amnesiac machine learning," in Proc. AAAI Conf. Artificial Intelligence, vol. 35, 2021, pp. 11516–11524.</w:t>
      </w:r>
    </w:p>
    <w:p>
      <w:pPr>
        <w:spacing w:after="60"/>
        <w:ind w:left="360" w:hanging="360"/>
      </w:pPr>
      <w:r>
        <w:rPr>
          <w:rFonts w:ascii="Times New Roman" w:hAnsi="Times New Roman"/>
          <w:sz w:val="17"/>
        </w:rPr>
        <w:t>[14] A. Ginart, M. Guan, G. Valiant, and J. Zou, "Making AI forget you: Data deletion in machine learning," in Proc. Adv. Neural Information Processing Systems, vol. 32, 2019.</w:t>
      </w:r>
    </w:p>
    <w:p>
      <w:pPr>
        <w:spacing w:after="60"/>
        <w:ind w:left="360" w:hanging="360"/>
      </w:pPr>
      <w:r>
        <w:rPr>
          <w:rFonts w:ascii="Times New Roman" w:hAnsi="Times New Roman"/>
          <w:sz w:val="17"/>
        </w:rPr>
        <w:t>[15] A. Sekhari, J. Acharya, G. Kamath, and A. T. Suresh, "Remember what you want to forget: Algorithms for machine unlearning," in Proc. Adv. Neural Information Processing Systems, vol. 34, 2021.</w:t>
      </w:r>
    </w:p>
    <w:p>
      <w:pPr>
        <w:spacing w:after="60"/>
        <w:ind w:left="360" w:hanging="360"/>
      </w:pPr>
      <w:r>
        <w:rPr>
          <w:rFonts w:ascii="Times New Roman" w:hAnsi="Times New Roman"/>
          <w:sz w:val="17"/>
        </w:rPr>
        <w:t>[16] G. Saha, I. Garg, and K. Roy, "Gradient projection memory for continual learning," in Proc. Int. Conf. Learning Representations, 2021.</w:t>
      </w:r>
    </w:p>
    <w:p>
      <w:pPr>
        <w:spacing w:after="60"/>
        <w:ind w:left="360" w:hanging="360"/>
      </w:pPr>
      <w:r>
        <w:rPr>
          <w:rFonts w:ascii="Times New Roman" w:hAnsi="Times New Roman"/>
          <w:sz w:val="17"/>
        </w:rPr>
        <w:t>[17] N. Carlini, S. Chien, M. Nasr, S. Song, A. Terzis, and F. Tramèr, "Membership inference attacks from first principles," in Proc. IEEE Symp. Security and Privacy, 2022, pp. 1897–1914.</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