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4A8A"/>
          <w:sz w:val="56"/>
          <w:szCs w:val="56"/>
        </w:rPr>
        <w:t xml:space="preserve">Urban Inequality in London:</w:t>
      </w:r>
    </w:p>
    <w:p>
      <w:pPr>
        <w:spacing w:after="480"/>
        <w:jc w:val="center"/>
      </w:pPr>
      <w:r>
        <w:rPr>
          <w:rFonts w:ascii="Arial" w:cs="Arial" w:eastAsia="Arial" w:hAnsi="Arial"/>
          <w:b/>
          <w:bCs/>
          <w:color w:val="1A4A8A"/>
          <w:sz w:val="36"/>
          <w:szCs w:val="36"/>
        </w:rPr>
        <w:t xml:space="preserve">A Machine Learning Approach to Identifying Socioeconomic Deprivation Patterns</w:t>
      </w:r>
    </w:p>
    <w:p>
      <w:pPr>
        <w:spacing w:after="120"/>
        <w:jc w:val="center"/>
      </w:pPr>
      <w:r>
        <w:rPr>
          <w:rFonts w:ascii="Arial" w:cs="Arial" w:eastAsia="Arial" w:hAnsi="Arial"/>
          <w:b/>
          <w:bCs/>
          <w:color w:val="1A1A1A"/>
          <w:sz w:val="26"/>
          <w:szCs w:val="26"/>
        </w:rPr>
        <w:t xml:space="preserve">Mithun Surriya KS</w:t>
      </w:r>
    </w:p>
    <w:p>
      <w:pPr>
        <w:spacing w:after="120"/>
        <w:jc w:val="center"/>
      </w:pPr>
      <w:r>
        <w:rPr>
          <w:rFonts w:ascii="Arial" w:cs="Arial" w:eastAsia="Arial" w:hAnsi="Arial"/>
          <w:color w:val="555555"/>
          <w:sz w:val="22"/>
          <w:szCs w:val="22"/>
        </w:rPr>
        <w:t xml:space="preserve">BSc Artificial Intelligence and Data Science (89%)</w:t>
      </w:r>
    </w:p>
    <w:p>
      <w:pPr>
        <w:spacing w:after="120"/>
        <w:jc w:val="center"/>
      </w:pPr>
      <w:r>
        <w:rPr>
          <w:rFonts w:ascii="Arial" w:cs="Arial" w:eastAsia="Arial" w:hAnsi="Arial"/>
          <w:color w:val="555555"/>
          <w:sz w:val="22"/>
          <w:szCs w:val="22"/>
        </w:rPr>
        <w:t xml:space="preserve">University of East London, 2025</w:t>
      </w:r>
    </w:p>
    <w:p>
      <w:pPr>
        <w:spacing w:after="120"/>
        <w:jc w:val="center"/>
      </w:pPr>
      <w:r>
        <w:rPr>
          <w:rFonts w:ascii="Arial" w:cs="Arial" w:eastAsia="Arial" w:hAnsi="Arial"/>
          <w:color w:val="555555"/>
          <w:sz w:val="22"/>
          <w:szCs w:val="22"/>
        </w:rPr>
        <w:t xml:space="preserve">mithunsurriyaks@gmail.com</w:t>
      </w:r>
    </w:p>
    <w:p>
      <w:pPr>
        <w:spacing w:after="120"/>
        <w:jc w:val="center"/>
      </w:pPr>
      <w:r>
        <w:rPr>
          <w:rFonts w:ascii="Arial" w:cs="Arial" w:eastAsia="Arial" w:hAnsi="Arial"/>
          <w:color w:val="555555"/>
          <w:sz w:val="22"/>
          <w:szCs w:val="22"/>
        </w:rPr>
        <w:t xml:space="preserve">August 2026</w:t>
      </w:r>
    </w:p>
    <w:p>
      <w:pPr>
        <w:spacing w:after="120"/>
      </w:pPr>
      <w:r>
        <w:t xml:space="preserve"/>
      </w:r>
    </w:p>
    <w:p>
      <w:pPr>
        <w:pBdr>
          <w:top w:val="single" w:color="1A4A8A" w:sz="4" w:space="6"/>
          <w:bottom w:val="single" w:color="1A4A8A" w:sz="4" w:space="6"/>
        </w:pBdr>
        <w:spacing w:after="120"/>
        <w:jc w:val="center"/>
      </w:pPr>
      <w:r>
        <w:rPr>
          <w:rFonts w:ascii="Arial" w:cs="Arial" w:eastAsia="Arial" w:hAnsi="Arial"/>
          <w:i/>
          <w:iCs/>
          <w:color w:val="1A4A8A"/>
          <w:sz w:val="18"/>
          <w:szCs w:val="18"/>
        </w:rPr>
        <w:t xml:space="preserve">Live Dashboard: londoninequalitydashboard-r8w46bkkvvt6xmeyxbu7ku.streamlit.app</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Abstract</w:t>
      </w:r>
    </w:p>
    <w:p>
      <w:pPr>
        <w:spacing w:after="160" w:line="360" w:lineRule="auto"/>
      </w:pPr>
      <w:r>
        <w:rPr>
          <w:rFonts w:ascii="Arial" w:cs="Arial" w:eastAsia="Arial" w:hAnsi="Arial"/>
          <w:color w:val="1A1A1A"/>
          <w:sz w:val="22"/>
          <w:szCs w:val="22"/>
        </w:rPr>
        <w:t xml:space="preserve">Urban inequality in London represents one of the most persistent social challenges facing a major global city. Despite substantial wealth concentrated within its boundaries, London's 32 boroughs exhibit dramatic disparities in income, employment, health, and living conditions — disparities that existing government indices document but do not fully explain. This study presents an AI-driven analytical framework that integrates two publicly available government datasets — the English Indices of Deprivation 2019 and Metropolitan Police crime data — to investigate the socioeconomic drivers of borough-level deprivation across London. Using a Random Forest machine learning model, the study achieves an R² score of 0.897, indicating that 89.7% of variance in deprivation scores is explained by the selected indicators. SHAP (SHapley Additive exPlanations) analysis reveals that employment deprivation is the strongest predictor of overall deprivation, followed by income and crime domain scores. The findings confirm a persistent east-west inequality divide across London boroughs, with Barking and Dagenham and Hackney emerging as the most deprived. Results are presented through an interactive geospatial dashboard built with Streamlit and Folium, making the analysis accessible to policymakers and the public alike.</w:t>
      </w:r>
    </w:p>
    <w:p>
      <w:pPr>
        <w:spacing w:after="120"/>
      </w:pPr>
      <w:r>
        <w:t xml:space="preserve"/>
      </w:r>
    </w:p>
    <w:p>
      <w:pPr>
        <w:spacing w:after="160" w:line="360" w:lineRule="auto"/>
      </w:pPr>
      <w:r>
        <w:rPr>
          <w:rFonts w:ascii="Arial" w:cs="Arial" w:eastAsia="Arial" w:hAnsi="Arial"/>
          <w:b/>
          <w:bCs/>
          <w:color w:val="1A1A1A"/>
          <w:sz w:val="22"/>
          <w:szCs w:val="22"/>
        </w:rPr>
        <w:t xml:space="preserve">Keywords: </w:t>
      </w:r>
      <w:r>
        <w:rPr>
          <w:rFonts w:ascii="Arial" w:cs="Arial" w:eastAsia="Arial" w:hAnsi="Arial"/>
          <w:color w:val="1A1A1A"/>
          <w:sz w:val="22"/>
          <w:szCs w:val="22"/>
        </w:rPr>
        <w:t xml:space="preserve">Urban deprivation · Machine learning · Random Forest · SHAP · London boroughs · Socioeconomic inequality · Geospatial analysis</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1. Introduction</w:t>
      </w:r>
    </w:p>
    <w:p>
      <w:pPr>
        <w:spacing w:after="160" w:line="360" w:lineRule="auto"/>
      </w:pPr>
      <w:r>
        <w:rPr>
          <w:rFonts w:ascii="Arial" w:cs="Arial" w:eastAsia="Arial" w:hAnsi="Arial"/>
          <w:color w:val="1A1A1A"/>
          <w:sz w:val="22"/>
          <w:szCs w:val="22"/>
        </w:rPr>
        <w:t xml:space="preserve">London is one of the wealthiest cities in the world, yet stark inequality remains an undeniable reality across its 32 boroughs. Life expectancy differs by up to 10 years between the most and least deprived areas, and average income in wealthy boroughs such as Kensington and Chelsea is reported to be five times higher than in Barking and Dagenham — despite residents across all boroughs contributing similarly through council tax and other forms of taxation. These disparities highlight a fundamental tension between economic prosperity and social equity within one of the world's most prominent global cities.</w:t>
      </w:r>
    </w:p>
    <w:p>
      <w:pPr>
        <w:spacing w:after="160" w:line="360" w:lineRule="auto"/>
      </w:pPr>
      <w:r>
        <w:rPr>
          <w:rFonts w:ascii="Arial" w:cs="Arial" w:eastAsia="Arial" w:hAnsi="Arial"/>
          <w:color w:val="1A1A1A"/>
          <w:sz w:val="22"/>
          <w:szCs w:val="22"/>
        </w:rPr>
        <w:t xml:space="preserve">Despite the scale of this inequality, existing approaches to measuring deprivation often examine factors in isolation. While government indices provide valuable data across domains such as income, employment, and health, these measures are updated infrequently and fail to capture how multiple deprivation indicators interact with one another. A borough may score favourably on income metrics yet perform poorly on air quality or educational attainment — and it is the combination of these factors, rather than any single metric, that most accurately reflects the lived experience of deprivation.</w:t>
      </w:r>
    </w:p>
    <w:p>
      <w:pPr>
        <w:spacing w:after="160" w:line="360" w:lineRule="auto"/>
      </w:pPr>
      <w:r>
        <w:rPr>
          <w:rFonts w:ascii="Arial" w:cs="Arial" w:eastAsia="Arial" w:hAnsi="Arial"/>
          <w:color w:val="1A1A1A"/>
          <w:sz w:val="22"/>
          <w:szCs w:val="22"/>
        </w:rPr>
        <w:t xml:space="preserve">This study proposes an AI-driven analytical framework that integrates two publicly available datasets covering deprivation indices and crime rates across London boroughs. By training a predictive machine learning model and visualising results through an interactive geospatial dashboard, this research aims to make complex socioeconomic analysis accessible not only to statisticians and policymakers, but to anyone seeking to understand and address inequality in London.</w:t>
      </w:r>
    </w:p>
    <w:p>
      <w:pPr>
        <w:spacing w:after="160" w:line="360" w:lineRule="auto"/>
      </w:pPr>
      <w:r>
        <w:rPr>
          <w:rFonts w:ascii="Arial" w:cs="Arial" w:eastAsia="Arial" w:hAnsi="Arial"/>
          <w:color w:val="1A1A1A"/>
          <w:sz w:val="22"/>
          <w:szCs w:val="22"/>
        </w:rPr>
        <w:t xml:space="preserve">Specifically, this study seeks to address the following research questions:</w:t>
      </w:r>
    </w:p>
    <w:p>
      <w:pPr>
        <w:pStyle w:val="ListParagraph"/>
        <w:numPr>
          <w:ilvl w:val="0"/>
          <w:numId w:val="2"/>
        </w:numPr>
        <w:spacing w:after="80"/>
      </w:pPr>
      <w:r>
        <w:rPr>
          <w:rFonts w:ascii="Arial" w:cs="Arial" w:eastAsia="Arial" w:hAnsi="Arial"/>
          <w:color w:val="1A1A1A"/>
          <w:sz w:val="22"/>
          <w:szCs w:val="22"/>
        </w:rPr>
        <w:t xml:space="preserve">RQ1: Which socioeconomic factors most strongly predict deprivation scores across London boroughs?</w:t>
      </w:r>
    </w:p>
    <w:p>
      <w:pPr>
        <w:pStyle w:val="ListParagraph"/>
        <w:numPr>
          <w:ilvl w:val="0"/>
          <w:numId w:val="2"/>
        </w:numPr>
        <w:spacing w:after="80"/>
      </w:pPr>
      <w:r>
        <w:rPr>
          <w:rFonts w:ascii="Arial" w:cs="Arial" w:eastAsia="Arial" w:hAnsi="Arial"/>
          <w:color w:val="1A1A1A"/>
          <w:sz w:val="22"/>
          <w:szCs w:val="22"/>
        </w:rPr>
        <w:t xml:space="preserve">RQ2: Can a machine learning model accurately predict overall deprivation from a combination of socioeconomic indicators?</w:t>
      </w:r>
    </w:p>
    <w:p>
      <w:pPr>
        <w:pStyle w:val="ListParagraph"/>
        <w:numPr>
          <w:ilvl w:val="0"/>
          <w:numId w:val="2"/>
        </w:numPr>
        <w:spacing w:after="80"/>
      </w:pPr>
      <w:r>
        <w:rPr>
          <w:rFonts w:ascii="Arial" w:cs="Arial" w:eastAsia="Arial" w:hAnsi="Arial"/>
          <w:color w:val="1A1A1A"/>
          <w:sz w:val="22"/>
          <w:szCs w:val="22"/>
        </w:rPr>
        <w:t xml:space="preserve">RQ3: What spatial patterns emerge when multiple deprivation indicators are mapped at borough level?</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2. Literature Review</w:t>
      </w:r>
    </w:p>
    <w:p>
      <w:pPr>
        <w:pStyle w:val="Heading2"/>
        <w:spacing w:after="80" w:before="280"/>
      </w:pPr>
      <w:r>
        <w:rPr>
          <w:rFonts w:ascii="Arial" w:cs="Arial" w:eastAsia="Arial" w:hAnsi="Arial"/>
          <w:b/>
          <w:bCs/>
          <w:color w:val="1A4A8A"/>
          <w:sz w:val="24"/>
          <w:szCs w:val="24"/>
        </w:rPr>
        <w:t xml:space="preserve">2.1 Measuring Urban Deprivation</w:t>
      </w:r>
    </w:p>
    <w:p>
      <w:pPr>
        <w:spacing w:after="160" w:line="360" w:lineRule="auto"/>
      </w:pPr>
      <w:r>
        <w:rPr>
          <w:rFonts w:ascii="Arial" w:cs="Arial" w:eastAsia="Arial" w:hAnsi="Arial"/>
          <w:color w:val="1A1A1A"/>
          <w:sz w:val="22"/>
          <w:szCs w:val="22"/>
        </w:rPr>
        <w:t xml:space="preserve">Measuring deprivation in England is not a new challenge. The English Indices of Deprivation 2019 is the sixth version of an official government measure that ranks every small neighbourhood in England based on how disadvantaged it is across seven areas of life — income, employment, education, health, crime, housing, and the local environment. It has followed the same core methodology since 2000, which makes it one of the most consistent and trusted tools for understanding poverty patterns over time. Income and employment carry the highest weightings at 22.5% each, which reflects how strongly financial insecurity shapes wider disadvantage. However, the index has a notable limitation — it shows where deprivation exists but does not reveal which factors are driving it most, or how different domains interact with one another. Addressing this limitation is one of the core motivations for this study.</w:t>
      </w:r>
    </w:p>
    <w:p>
      <w:pPr>
        <w:pStyle w:val="Heading2"/>
        <w:spacing w:after="80" w:before="280"/>
      </w:pPr>
      <w:r>
        <w:rPr>
          <w:rFonts w:ascii="Arial" w:cs="Arial" w:eastAsia="Arial" w:hAnsi="Arial"/>
          <w:b/>
          <w:bCs/>
          <w:color w:val="1A4A8A"/>
          <w:sz w:val="24"/>
          <w:szCs w:val="24"/>
        </w:rPr>
        <w:t xml:space="preserve">2.2 Machine Learning and Socioeconomic Deprivation</w:t>
      </w:r>
    </w:p>
    <w:p>
      <w:pPr>
        <w:spacing w:after="160" w:line="360" w:lineRule="auto"/>
      </w:pPr>
      <w:r>
        <w:rPr>
          <w:rFonts w:ascii="Arial" w:cs="Arial" w:eastAsia="Arial" w:hAnsi="Arial"/>
          <w:color w:val="1A1A1A"/>
          <w:sz w:val="22"/>
          <w:szCs w:val="22"/>
        </w:rPr>
        <w:t xml:space="preserve">Researchers have increasingly turned to machine learning to deepen our understanding of urban deprivation. Arribas-Bel et al. (2017) applied ML to predict living environment deprivation scores across Liverpool using satellite imagery, finding that machine learning outperformed traditional statistical methods and could handle far more variables simultaneously. Their work suggested that ML is particularly well-suited to the complexity of socioeconomic data, where many factors interact in ways that simpler models cannot capture. Building on this, Wan and Su (2022) compared multiple algorithms for inferring neighbourhood socioeconomic status and found that tree-based models — particularly Random Forest — consistently produced the strongest results. A recurring theme across this literature is that combining multiple deprivation indicators, rather than relying on a single measure, leads to more accurate and meaningful analysis. This study follows that principle by integrating deprivation domain scores with recorded crime data across all 32 London boroughs.</w:t>
      </w:r>
    </w:p>
    <w:p>
      <w:pPr>
        <w:pStyle w:val="Heading2"/>
        <w:spacing w:after="80" w:before="280"/>
      </w:pPr>
      <w:r>
        <w:rPr>
          <w:rFonts w:ascii="Arial" w:cs="Arial" w:eastAsia="Arial" w:hAnsi="Arial"/>
          <w:b/>
          <w:bCs/>
          <w:color w:val="1A4A8A"/>
          <w:sz w:val="24"/>
          <w:szCs w:val="24"/>
        </w:rPr>
        <w:t xml:space="preserve">2.3 Explainable AI in Policy</w:t>
      </w:r>
    </w:p>
    <w:p>
      <w:pPr>
        <w:spacing w:after="160" w:line="360" w:lineRule="auto"/>
      </w:pPr>
      <w:r>
        <w:rPr>
          <w:rFonts w:ascii="Arial" w:cs="Arial" w:eastAsia="Arial" w:hAnsi="Arial"/>
          <w:color w:val="1A1A1A"/>
          <w:sz w:val="22"/>
          <w:szCs w:val="22"/>
        </w:rPr>
        <w:t xml:space="preserve">One of the most common criticisms of machine learning in public policy is that it functions as a black box — it produces predictions without explaining how it arrived at them. In the context of deprivation analysis, this is a real problem. Policymakers need to know not just which boroughs are struggling, but why — whether it is driven by unemployment, poor health outcomes, inadequate housing, or some combination of factors. SHAP, introduced by Lundberg and Lee (2017), addresses this by attributing each prediction to its contributing features, making it possible to see exactly what the model is responding to. Bell et al. (2022) further showed that the perceived trade-off between model accuracy and explainability is less straightforward than often assumed — explainable models can perform just as well as black-box alternatives in policy settings. This study incorporates SHAP analysis to ensure the model's findings are interpretable not only for researchers but for anyone engaging with the dashboard.</w:t>
      </w:r>
    </w:p>
    <w:p>
      <w:pPr>
        <w:pStyle w:val="Heading2"/>
        <w:spacing w:after="80" w:before="280"/>
      </w:pPr>
      <w:r>
        <w:rPr>
          <w:rFonts w:ascii="Arial" w:cs="Arial" w:eastAsia="Arial" w:hAnsi="Arial"/>
          <w:b/>
          <w:bCs/>
          <w:color w:val="1A4A8A"/>
          <w:sz w:val="24"/>
          <w:szCs w:val="24"/>
        </w:rPr>
        <w:t xml:space="preserve">2.4 Inequality Across London Boroughs</w:t>
      </w:r>
    </w:p>
    <w:p>
      <w:pPr>
        <w:spacing w:after="160" w:line="360" w:lineRule="auto"/>
      </w:pPr>
      <w:r>
        <w:rPr>
          <w:rFonts w:ascii="Arial" w:cs="Arial" w:eastAsia="Arial" w:hAnsi="Arial"/>
          <w:color w:val="1A1A1A"/>
          <w:sz w:val="22"/>
          <w:szCs w:val="22"/>
        </w:rPr>
        <w:t xml:space="preserve">London's inequality is well-documented but remains a persistent challenge. Higgins et al. (2014) analysed quality of life across London boroughs using a wide range of government indicators, finding that deprivation, health, and educational inequalities were the defining differences between boroughs — not transport or community safety as is sometimes assumed. Importantly, their study highlighted that broad comparisons between inner and outer London tend to mask the real depth of inequality at borough level. Research by the Centre for London (2022) reinforces this, showing that low pay and unemployment cluster in specific boroughs rather than being distributed evenly across the city. Even within a single borough, disparities can be significant — studies of Kensington and Chelsea found that life satisfaction and overcrowding rates varied dramatically between its wealthier and more deprived wards. These findings confirm that borough-level analysis, while a useful starting point, still involves a degree of generalisation that future research at finer geographic scales could address.</w:t>
      </w:r>
    </w:p>
    <w:p>
      <w:pPr>
        <w:pStyle w:val="Heading2"/>
        <w:spacing w:after="80" w:before="280"/>
      </w:pPr>
      <w:r>
        <w:rPr>
          <w:rFonts w:ascii="Arial" w:cs="Arial" w:eastAsia="Arial" w:hAnsi="Arial"/>
          <w:b/>
          <w:bCs/>
          <w:color w:val="1A4A8A"/>
          <w:sz w:val="24"/>
          <w:szCs w:val="24"/>
        </w:rPr>
        <w:t xml:space="preserve">2.5 Research Gap</w:t>
      </w:r>
    </w:p>
    <w:p>
      <w:pPr>
        <w:spacing w:after="160" w:line="360" w:lineRule="auto"/>
      </w:pPr>
      <w:r>
        <w:rPr>
          <w:rFonts w:ascii="Arial" w:cs="Arial" w:eastAsia="Arial" w:hAnsi="Arial"/>
          <w:color w:val="1A1A1A"/>
          <w:sz w:val="22"/>
          <w:szCs w:val="22"/>
        </w:rPr>
        <w:t xml:space="preserve">Despite this growing body of work, three gaps remain. First, most machine learning studies on deprivation use satellite imagery or social media rather than official government multi-domain indices. Second, very few studies apply explainable AI to London specifically at borough level. Third, existing research on London inequality tends to describe patterns rather than predict them. This study addresses all three gaps by combining the IoD2019 with Metropolitan Police crime data, applying a Random Forest model with SHAP-based explainability, and presenting the results through an interactive geospatial dashboard designed to be accessible beyond the research community.</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3. Methodology</w:t>
      </w:r>
    </w:p>
    <w:p>
      <w:pPr>
        <w:pStyle w:val="Heading2"/>
        <w:spacing w:after="80" w:before="280"/>
      </w:pPr>
      <w:r>
        <w:rPr>
          <w:rFonts w:ascii="Arial" w:cs="Arial" w:eastAsia="Arial" w:hAnsi="Arial"/>
          <w:b/>
          <w:bCs/>
          <w:color w:val="1A4A8A"/>
          <w:sz w:val="24"/>
          <w:szCs w:val="24"/>
        </w:rPr>
        <w:t xml:space="preserve">3.1 Data Sources</w:t>
      </w:r>
    </w:p>
    <w:p>
      <w:pPr>
        <w:spacing w:after="160" w:line="360" w:lineRule="auto"/>
      </w:pPr>
      <w:r>
        <w:rPr>
          <w:rFonts w:ascii="Arial" w:cs="Arial" w:eastAsia="Arial" w:hAnsi="Arial"/>
          <w:color w:val="1A1A1A"/>
          <w:sz w:val="22"/>
          <w:szCs w:val="22"/>
        </w:rPr>
        <w:t xml:space="preserve">This study draws on two publicly available government datasets. The primary source is the English Indices of Deprivation 2019 (IoD2019), published by the Ministry of Housing, Communities and Local Government, which provides deprivation scores across seven domains for every Lower Super Output Area (LSOA) in England. The second dataset is the Metropolitan Police Service Borough Level Crime data, covering all recorded crimes across London's 32 boroughs from July 2024 to June 2026, broken down by crime category and month. Borough boundary GeoJSON files were also obtained from a public repository for geospatial visualisation purposes.</w:t>
      </w:r>
    </w:p>
    <w:p>
      <w:pPr>
        <w:pStyle w:val="Heading2"/>
        <w:spacing w:after="80" w:before="280"/>
      </w:pPr>
      <w:r>
        <w:rPr>
          <w:rFonts w:ascii="Arial" w:cs="Arial" w:eastAsia="Arial" w:hAnsi="Arial"/>
          <w:b/>
          <w:bCs/>
          <w:color w:val="1A4A8A"/>
          <w:sz w:val="24"/>
          <w:szCs w:val="24"/>
        </w:rPr>
        <w:t xml:space="preserve">3.2 Technical Stack</w:t>
      </w:r>
    </w:p>
    <w:p>
      <w:pPr>
        <w:spacing w:after="160" w:line="360" w:lineRule="auto"/>
      </w:pPr>
      <w:r>
        <w:rPr>
          <w:rFonts w:ascii="Arial" w:cs="Arial" w:eastAsia="Arial" w:hAnsi="Arial"/>
          <w:color w:val="1A1A1A"/>
          <w:sz w:val="22"/>
          <w:szCs w:val="22"/>
        </w:rPr>
        <w:t xml:space="preserve">The entire pipeline was implemented in Python. The following libraries were used:</w:t>
      </w:r>
    </w:p>
    <w:p>
      <w:pPr>
        <w:pStyle w:val="ListParagraph"/>
        <w:numPr>
          <w:ilvl w:val="0"/>
          <w:numId w:val="2"/>
        </w:numPr>
        <w:spacing w:after="80"/>
      </w:pPr>
      <w:r>
        <w:rPr>
          <w:rFonts w:ascii="Arial" w:cs="Arial" w:eastAsia="Arial" w:hAnsi="Arial"/>
          <w:color w:val="1A1A1A"/>
          <w:sz w:val="22"/>
          <w:szCs w:val="22"/>
        </w:rPr>
        <w:t xml:space="preserve">Pandas — data loading, cleaning, aggregation and merging</w:t>
      </w:r>
    </w:p>
    <w:p>
      <w:pPr>
        <w:pStyle w:val="ListParagraph"/>
        <w:numPr>
          <w:ilvl w:val="0"/>
          <w:numId w:val="2"/>
        </w:numPr>
        <w:spacing w:after="80"/>
      </w:pPr>
      <w:r>
        <w:rPr>
          <w:rFonts w:ascii="Arial" w:cs="Arial" w:eastAsia="Arial" w:hAnsi="Arial"/>
          <w:color w:val="1A1A1A"/>
          <w:sz w:val="22"/>
          <w:szCs w:val="22"/>
        </w:rPr>
        <w:t xml:space="preserve">NumPy — numerical operations</w:t>
      </w:r>
    </w:p>
    <w:p>
      <w:pPr>
        <w:pStyle w:val="ListParagraph"/>
        <w:numPr>
          <w:ilvl w:val="0"/>
          <w:numId w:val="2"/>
        </w:numPr>
        <w:spacing w:after="80"/>
      </w:pPr>
      <w:r>
        <w:rPr>
          <w:rFonts w:ascii="Arial" w:cs="Arial" w:eastAsia="Arial" w:hAnsi="Arial"/>
          <w:color w:val="1A1A1A"/>
          <w:sz w:val="22"/>
          <w:szCs w:val="22"/>
        </w:rPr>
        <w:t xml:space="preserve">Scikit-learn — Random Forest model, train-test split, evaluation metrics</w:t>
      </w:r>
    </w:p>
    <w:p>
      <w:pPr>
        <w:pStyle w:val="ListParagraph"/>
        <w:numPr>
          <w:ilvl w:val="0"/>
          <w:numId w:val="2"/>
        </w:numPr>
        <w:spacing w:after="80"/>
      </w:pPr>
      <w:r>
        <w:rPr>
          <w:rFonts w:ascii="Arial" w:cs="Arial" w:eastAsia="Arial" w:hAnsi="Arial"/>
          <w:color w:val="1A1A1A"/>
          <w:sz w:val="22"/>
          <w:szCs w:val="22"/>
        </w:rPr>
        <w:t xml:space="preserve">SHAP — explainability analysis via TreeExplainer</w:t>
      </w:r>
    </w:p>
    <w:p>
      <w:pPr>
        <w:pStyle w:val="ListParagraph"/>
        <w:numPr>
          <w:ilvl w:val="0"/>
          <w:numId w:val="2"/>
        </w:numPr>
        <w:spacing w:after="80"/>
      </w:pPr>
      <w:r>
        <w:rPr>
          <w:rFonts w:ascii="Arial" w:cs="Arial" w:eastAsia="Arial" w:hAnsi="Arial"/>
          <w:color w:val="1A1A1A"/>
          <w:sz w:val="22"/>
          <w:szCs w:val="22"/>
        </w:rPr>
        <w:t xml:space="preserve">Matplotlib and Seaborn — static charts including correlation heatmap</w:t>
      </w:r>
    </w:p>
    <w:p>
      <w:pPr>
        <w:pStyle w:val="ListParagraph"/>
        <w:numPr>
          <w:ilvl w:val="0"/>
          <w:numId w:val="2"/>
        </w:numPr>
        <w:spacing w:after="80"/>
      </w:pPr>
      <w:r>
        <w:rPr>
          <w:rFonts w:ascii="Arial" w:cs="Arial" w:eastAsia="Arial" w:hAnsi="Arial"/>
          <w:color w:val="1A1A1A"/>
          <w:sz w:val="22"/>
          <w:szCs w:val="22"/>
        </w:rPr>
        <w:t xml:space="preserve">Plotly Express — interactive scatter plots</w:t>
      </w:r>
    </w:p>
    <w:p>
      <w:pPr>
        <w:pStyle w:val="ListParagraph"/>
        <w:numPr>
          <w:ilvl w:val="0"/>
          <w:numId w:val="2"/>
        </w:numPr>
        <w:spacing w:after="80"/>
      </w:pPr>
      <w:r>
        <w:rPr>
          <w:rFonts w:ascii="Arial" w:cs="Arial" w:eastAsia="Arial" w:hAnsi="Arial"/>
          <w:color w:val="1A1A1A"/>
          <w:sz w:val="22"/>
          <w:szCs w:val="22"/>
        </w:rPr>
        <w:t xml:space="preserve">Folium — interactive geospatial map</w:t>
      </w:r>
    </w:p>
    <w:p>
      <w:pPr>
        <w:pStyle w:val="ListParagraph"/>
        <w:numPr>
          <w:ilvl w:val="0"/>
          <w:numId w:val="2"/>
        </w:numPr>
        <w:spacing w:after="80"/>
      </w:pPr>
      <w:r>
        <w:rPr>
          <w:rFonts w:ascii="Arial" w:cs="Arial" w:eastAsia="Arial" w:hAnsi="Arial"/>
          <w:color w:val="1A1A1A"/>
          <w:sz w:val="22"/>
          <w:szCs w:val="22"/>
        </w:rPr>
        <w:t xml:space="preserve">Streamlit — web application deployment</w:t>
      </w:r>
    </w:p>
    <w:p>
      <w:pPr>
        <w:pStyle w:val="ListParagraph"/>
        <w:numPr>
          <w:ilvl w:val="0"/>
          <w:numId w:val="2"/>
        </w:numPr>
        <w:spacing w:after="80"/>
      </w:pPr>
      <w:r>
        <w:rPr>
          <w:rFonts w:ascii="Arial" w:cs="Arial" w:eastAsia="Arial" w:hAnsi="Arial"/>
          <w:color w:val="1A1A1A"/>
          <w:sz w:val="22"/>
          <w:szCs w:val="22"/>
        </w:rPr>
        <w:t xml:space="preserve">Streamlit-Folium — embedding Folium maps inside Streamlit</w:t>
      </w:r>
    </w:p>
    <w:p>
      <w:pPr>
        <w:pStyle w:val="ListParagraph"/>
        <w:numPr>
          <w:ilvl w:val="0"/>
          <w:numId w:val="2"/>
        </w:numPr>
        <w:spacing w:after="80"/>
      </w:pPr>
      <w:r>
        <w:rPr>
          <w:rFonts w:ascii="Arial" w:cs="Arial" w:eastAsia="Arial" w:hAnsi="Arial"/>
          <w:color w:val="1A1A1A"/>
          <w:sz w:val="22"/>
          <w:szCs w:val="22"/>
        </w:rPr>
        <w:t xml:space="preserve">Requests — fetching GeoJSON boundary data</w:t>
      </w:r>
    </w:p>
    <w:p>
      <w:pPr>
        <w:spacing w:after="160" w:line="360" w:lineRule="auto"/>
      </w:pPr>
      <w:r>
        <w:rPr>
          <w:rFonts w:ascii="Arial" w:cs="Arial" w:eastAsia="Arial" w:hAnsi="Arial"/>
          <w:color w:val="1A1A1A"/>
          <w:sz w:val="22"/>
          <w:szCs w:val="22"/>
        </w:rPr>
        <w:t xml:space="preserve">All development was conducted in Google Colab. The final application was deployed on Streamlit Cloud, with source code version-controlled on GitHub.</w:t>
      </w:r>
    </w:p>
    <w:p>
      <w:pPr>
        <w:pStyle w:val="Heading2"/>
        <w:spacing w:after="80" w:before="280"/>
      </w:pPr>
      <w:r>
        <w:rPr>
          <w:rFonts w:ascii="Arial" w:cs="Arial" w:eastAsia="Arial" w:hAnsi="Arial"/>
          <w:b/>
          <w:bCs/>
          <w:color w:val="1A4A8A"/>
          <w:sz w:val="24"/>
          <w:szCs w:val="24"/>
        </w:rPr>
        <w:t xml:space="preserve">3.3 Data Preprocessing</w:t>
      </w:r>
    </w:p>
    <w:p>
      <w:pPr>
        <w:spacing w:after="160" w:line="360" w:lineRule="auto"/>
      </w:pPr>
      <w:r>
        <w:rPr>
          <w:rFonts w:ascii="Arial" w:cs="Arial" w:eastAsia="Arial" w:hAnsi="Arial"/>
          <w:color w:val="1A1A1A"/>
          <w:sz w:val="22"/>
          <w:szCs w:val="22"/>
        </w:rPr>
        <w:t xml:space="preserve">The IoD2019 dataset originally contained 32,844 rows at LSOA level, covering all of England. These were filtered to retain only the 32 London boroughs, producing approximately 4,900 rows. These were then aggregated to borough level using mean values across all LSOAs within each borough, yielding a 32-row dataset with seven domain scores per borough. The crime dataset was processed by summing all crime categories across all 24 months per borough to produce a single total crime count figure. An 'Unknown' entry — representing crimes with unrecorded locations — was identified and removed prior to merging. The two datasets were joined on borough name using an inner join, producing a final master dataset of 32 rows and 9 features.</w:t>
      </w:r>
    </w:p>
    <w:p>
      <w:pPr>
        <w:spacing w:after="160" w:line="360" w:lineRule="auto"/>
      </w:pPr>
      <w:r>
        <w:rPr>
          <w:rFonts w:ascii="Arial" w:cs="Arial" w:eastAsia="Arial" w:hAnsi="Arial"/>
          <w:color w:val="1A1A1A"/>
          <w:sz w:val="22"/>
          <w:szCs w:val="22"/>
        </w:rPr>
        <w:t xml:space="preserve">The final feature set comprised: deprivation_score (target variable), income_score, employment_score, health_score, education_score, crime_score_dep, environment_score, and total_crime_count.</w:t>
      </w:r>
    </w:p>
    <w:p>
      <w:pPr>
        <w:pStyle w:val="Heading2"/>
        <w:spacing w:after="80" w:before="280"/>
      </w:pPr>
      <w:r>
        <w:rPr>
          <w:rFonts w:ascii="Arial" w:cs="Arial" w:eastAsia="Arial" w:hAnsi="Arial"/>
          <w:b/>
          <w:bCs/>
          <w:color w:val="1A4A8A"/>
          <w:sz w:val="24"/>
          <w:szCs w:val="24"/>
        </w:rPr>
        <w:t xml:space="preserve">3.4 Exploratory Data Analysis</w:t>
      </w:r>
    </w:p>
    <w:p>
      <w:pPr>
        <w:spacing w:after="160" w:line="360" w:lineRule="auto"/>
      </w:pPr>
      <w:r>
        <w:rPr>
          <w:rFonts w:ascii="Arial" w:cs="Arial" w:eastAsia="Arial" w:hAnsi="Arial"/>
          <w:color w:val="1A1A1A"/>
          <w:sz w:val="22"/>
          <w:szCs w:val="22"/>
        </w:rPr>
        <w:t xml:space="preserve">Before modelling, a correlation heatmap was generated across all features. This revealed that income deprivation and employment deprivation were almost perfectly correlated (r = 0.97), suggesting they move together across London boroughs. Overall deprivation score showed the strongest correlation with income (r = 0.98) and employment (r = 0.96). Notably, total recorded crime count showed a relatively weak correlation with overall deprivation (r = 0.40), likely reflecting high-footfall areas such as Westminster where crime volumes are elevated independent of local deprivation levels.</w:t>
      </w:r>
    </w:p>
    <w:p>
      <w:pPr>
        <w:pStyle w:val="Heading2"/>
        <w:spacing w:after="80" w:before="280"/>
      </w:pPr>
      <w:r>
        <w:rPr>
          <w:rFonts w:ascii="Arial" w:cs="Arial" w:eastAsia="Arial" w:hAnsi="Arial"/>
          <w:b/>
          <w:bCs/>
          <w:color w:val="1A4A8A"/>
          <w:sz w:val="24"/>
          <w:szCs w:val="24"/>
        </w:rPr>
        <w:t xml:space="preserve">3.5 Model Selection and Training</w:t>
      </w:r>
    </w:p>
    <w:p>
      <w:pPr>
        <w:spacing w:after="160" w:line="360" w:lineRule="auto"/>
      </w:pPr>
      <w:r>
        <w:rPr>
          <w:rFonts w:ascii="Arial" w:cs="Arial" w:eastAsia="Arial" w:hAnsi="Arial"/>
          <w:color w:val="1A1A1A"/>
          <w:sz w:val="22"/>
          <w:szCs w:val="22"/>
        </w:rPr>
        <w:t xml:space="preserve">A Random Forest Regressor was selected as the predictive model for three reasons. First, it performs well on small structured datasets — the 32-borough sample size is a constraint that tree-based ensemble methods handle better than linear models or neural networks. Second, it captures non-linear relationships between features, which is important given the complex interactions between deprivation domains. Third, it is directly compatible with SHAP-based explainability analysis, which is central to this study's research objectives. The model was trained using an 80/20 train-test split — 25 boroughs for training and 7 for testing — with 100 estimators and a fixed random state of 42 for reproducibility.</w:t>
      </w:r>
    </w:p>
    <w:p>
      <w:pPr>
        <w:pStyle w:val="Heading2"/>
        <w:spacing w:after="80" w:before="280"/>
      </w:pPr>
      <w:r>
        <w:rPr>
          <w:rFonts w:ascii="Arial" w:cs="Arial" w:eastAsia="Arial" w:hAnsi="Arial"/>
          <w:b/>
          <w:bCs/>
          <w:color w:val="1A4A8A"/>
          <w:sz w:val="24"/>
          <w:szCs w:val="24"/>
        </w:rPr>
        <w:t xml:space="preserve">3.6 Explainability with SHAP</w:t>
      </w:r>
    </w:p>
    <w:p>
      <w:pPr>
        <w:spacing w:after="160" w:line="360" w:lineRule="auto"/>
      </w:pPr>
      <w:r>
        <w:rPr>
          <w:rFonts w:ascii="Arial" w:cs="Arial" w:eastAsia="Arial" w:hAnsi="Arial"/>
          <w:color w:val="1A1A1A"/>
          <w:sz w:val="22"/>
          <w:szCs w:val="22"/>
        </w:rPr>
        <w:t xml:space="preserve">To interpret the model's predictions, SHAP (SHapley Additive exPlanations) was applied using a TreeExplainer, which is optimised specifically for tree-based models. SHAP values were calculated for all 32 boroughs across all features, producing a feature importance bar chart showing mean absolute SHAP values per feature — indicating which variables the model relied on most when making predictions.</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4. Results and Analysis</w:t>
      </w:r>
    </w:p>
    <w:p>
      <w:pPr>
        <w:pStyle w:val="Heading2"/>
        <w:spacing w:after="80" w:before="280"/>
      </w:pPr>
      <w:r>
        <w:rPr>
          <w:rFonts w:ascii="Arial" w:cs="Arial" w:eastAsia="Arial" w:hAnsi="Arial"/>
          <w:b/>
          <w:bCs/>
          <w:color w:val="1A4A8A"/>
          <w:sz w:val="24"/>
          <w:szCs w:val="24"/>
        </w:rPr>
        <w:t xml:space="preserve">4.1 Model Performance</w:t>
      </w:r>
    </w:p>
    <w:p>
      <w:pPr>
        <w:spacing w:after="160" w:line="360" w:lineRule="auto"/>
      </w:pPr>
      <w:r>
        <w:rPr>
          <w:rFonts w:ascii="Arial" w:cs="Arial" w:eastAsia="Arial" w:hAnsi="Arial"/>
          <w:color w:val="1A1A1A"/>
          <w:sz w:val="22"/>
          <w:szCs w:val="22"/>
        </w:rPr>
        <w:t xml:space="preserve">The Random Forest model achieved an R² score of 0.897 on the held-out test set, indicating that 89.7% of the variance in borough-level deprivation scores is explained by the selected socioeconomic indicators. The root mean squared error of 1.404 suggests that predictions deviate from actual deprivation scores by approximately 1.4 points on average. Given the small sample size of 32 boroughs, this represents strong predictive performance and confirms that the selected features are meaningful predictors of overall deprivation.</w:t>
      </w:r>
    </w:p>
    <w:p>
      <w:pPr>
        <w:pStyle w:val="Heading2"/>
        <w:spacing w:after="80" w:before="280"/>
      </w:pPr>
      <w:r>
        <w:rPr>
          <w:rFonts w:ascii="Arial" w:cs="Arial" w:eastAsia="Arial" w:hAnsi="Arial"/>
          <w:b/>
          <w:bCs/>
          <w:color w:val="1A4A8A"/>
          <w:sz w:val="24"/>
          <w:szCs w:val="24"/>
        </w:rPr>
        <w:t xml:space="preserve">4.2 Feature Importance — What Drives Deprivation Most?</w:t>
      </w:r>
    </w:p>
    <w:p>
      <w:pPr>
        <w:spacing w:after="160" w:line="360" w:lineRule="auto"/>
      </w:pPr>
      <w:r>
        <w:rPr>
          <w:rFonts w:ascii="Arial" w:cs="Arial" w:eastAsia="Arial" w:hAnsi="Arial"/>
          <w:color w:val="1A1A1A"/>
          <w:sz w:val="22"/>
          <w:szCs w:val="22"/>
        </w:rPr>
        <w:t xml:space="preserve">SHAP analysis identified employment score as the single most important predictor of overall deprivation across London boroughs, with a mean absolute SHAP value of approximately 1.9 — significantly higher than any other feature. Income score ranked second at approximately 1.55. Crime domain score ranked third at approximately 1.05, followed by health score at 0.45. Education score, total crime count, and environment score contributed comparatively little to the model's predictions.</w:t>
      </w:r>
    </w:p>
    <w:p>
      <w:pPr>
        <w:spacing w:after="160" w:line="360" w:lineRule="auto"/>
      </w:pPr>
      <w:r>
        <w:rPr>
          <w:rFonts w:ascii="Arial" w:cs="Arial" w:eastAsia="Arial" w:hAnsi="Arial"/>
          <w:color w:val="1A1A1A"/>
          <w:sz w:val="22"/>
          <w:szCs w:val="22"/>
        </w:rPr>
        <w:t xml:space="preserve">This finding suggests that worklessness — the inability to access employment rather than simply having low wages — is the primary structural driver of deprivation across London boroughs. Income and employment together account for the overwhelming majority of the model's predictive power, which aligns with the weightings applied in the IoD2019 methodology itself.</w:t>
      </w:r>
    </w:p>
    <w:p>
      <w:pPr>
        <w:pStyle w:val="Heading2"/>
        <w:spacing w:after="80" w:before="280"/>
      </w:pPr>
      <w:r>
        <w:rPr>
          <w:rFonts w:ascii="Arial" w:cs="Arial" w:eastAsia="Arial" w:hAnsi="Arial"/>
          <w:b/>
          <w:bCs/>
          <w:color w:val="1A4A8A"/>
          <w:sz w:val="24"/>
          <w:szCs w:val="24"/>
        </w:rPr>
        <w:t xml:space="preserve">4.3 Borough Deprivation Ranking</w:t>
      </w:r>
    </w:p>
    <w:p>
      <w:pPr>
        <w:spacing w:after="160" w:line="360" w:lineRule="auto"/>
      </w:pPr>
      <w:r>
        <w:rPr>
          <w:rFonts w:ascii="Arial" w:cs="Arial" w:eastAsia="Arial" w:hAnsi="Arial"/>
          <w:color w:val="1A1A1A"/>
          <w:sz w:val="22"/>
          <w:szCs w:val="22"/>
        </w:rPr>
        <w:t xml:space="preserve">The borough ranking chart reveals a clear geographic pattern in London's inequality. Barking and Dagenham and Hackney emerged as the most deprived boroughs, both scoring above 32 on the overall deprivation index. Newham, Tower Hamlets, Islington, and Haringey formed the next cluster, all scoring above 27. At the other end, Richmond upon Thames scored the lowest at approximately 9.5, followed by Kingston upon Thames and Sutton. This east-west divide in London deprivation is well-documented in the existing literature and is confirmed by this study's findings.</w:t>
      </w:r>
    </w:p>
    <w:p>
      <w:pPr>
        <w:pStyle w:val="Heading2"/>
        <w:spacing w:after="80" w:before="280"/>
      </w:pPr>
      <w:r>
        <w:rPr>
          <w:rFonts w:ascii="Arial" w:cs="Arial" w:eastAsia="Arial" w:hAnsi="Arial"/>
          <w:b/>
          <w:bCs/>
          <w:color w:val="1A4A8A"/>
          <w:sz w:val="24"/>
          <w:szCs w:val="24"/>
        </w:rPr>
        <w:t xml:space="preserve">4.4 Employment and Deprivation — A Direct Relationship</w:t>
      </w:r>
    </w:p>
    <w:p>
      <w:pPr>
        <w:spacing w:after="160" w:line="360" w:lineRule="auto"/>
      </w:pPr>
      <w:r>
        <w:rPr>
          <w:rFonts w:ascii="Arial" w:cs="Arial" w:eastAsia="Arial" w:hAnsi="Arial"/>
          <w:color w:val="1A1A1A"/>
          <w:sz w:val="22"/>
          <w:szCs w:val="22"/>
        </w:rPr>
        <w:t xml:space="preserve">The employment vs deprivation scatter plot provides visual confirmation of the SHAP finding. Boroughs with higher employment deprivation scores cluster in the upper right of the chart — Barking and Dagenham, Hackney, and Newham sit at the top right, while Richmond upon Thames and Kingston upon Thames sit at the bottom left. The relationship is strongly linear, reinforcing that employment deprivation is not merely correlated with overall deprivation but is its primary driver.</w:t>
      </w:r>
    </w:p>
    <w:p>
      <w:pPr>
        <w:spacing w:after="160" w:line="360" w:lineRule="auto"/>
      </w:pPr>
      <w:r>
        <w:rPr>
          <w:rFonts w:ascii="Arial" w:cs="Arial" w:eastAsia="Arial" w:hAnsi="Arial"/>
          <w:color w:val="1A1A1A"/>
          <w:sz w:val="22"/>
          <w:szCs w:val="22"/>
        </w:rPr>
        <w:t xml:space="preserve">An interesting outlier is Westminster, which sits mid-range on both axes despite having the highest total crime count in London. This is consistent with the Westminster Effect discussed in the exploratory analysis — high visitor footfall inflates crime counts independently of local deprivation levels.</w:t>
      </w:r>
    </w:p>
    <w:p>
      <w:pPr>
        <w:pStyle w:val="Heading2"/>
        <w:spacing w:after="80" w:before="280"/>
      </w:pPr>
      <w:r>
        <w:rPr>
          <w:rFonts w:ascii="Arial" w:cs="Arial" w:eastAsia="Arial" w:hAnsi="Arial"/>
          <w:b/>
          <w:bCs/>
          <w:color w:val="1A4A8A"/>
          <w:sz w:val="24"/>
          <w:szCs w:val="24"/>
        </w:rPr>
        <w:t xml:space="preserve">4.5 Income Poverty and Health Outcomes</w:t>
      </w:r>
    </w:p>
    <w:p>
      <w:pPr>
        <w:spacing w:after="160" w:line="360" w:lineRule="auto"/>
      </w:pPr>
      <w:r>
        <w:rPr>
          <w:rFonts w:ascii="Arial" w:cs="Arial" w:eastAsia="Arial" w:hAnsi="Arial"/>
          <w:color w:val="1A1A1A"/>
          <w:sz w:val="22"/>
          <w:szCs w:val="22"/>
        </w:rPr>
        <w:t xml:space="preserve">The income vs health scatter chart reveals a clear positive relationship between income deprivation and poor health outcomes across London boroughs. Hackney sits in the top right — high income deprivation and the worst health outcomes. Richmond upon Thames sits in the bottom left — low income deprivation and the best health outcomes. The colour coding confirms that overall deprivation tracks closely with both variables simultaneously.</w:t>
      </w:r>
    </w:p>
    <w:p>
      <w:pPr>
        <w:spacing w:after="160" w:line="360" w:lineRule="auto"/>
      </w:pPr>
      <w:r>
        <w:rPr>
          <w:rFonts w:ascii="Arial" w:cs="Arial" w:eastAsia="Arial" w:hAnsi="Arial"/>
          <w:color w:val="1A1A1A"/>
          <w:sz w:val="22"/>
          <w:szCs w:val="22"/>
        </w:rPr>
        <w:t xml:space="preserve">One notable pattern is that several boroughs show relatively poor health outcomes despite moderate income deprivation — suggesting that health disadvantage in London is not purely a function of poverty and may reflect other structural factors such as housing quality, environmental conditions, or healthcare access. This points to a limitation of income-focused interventions and warrants further investigation.</w:t>
      </w:r>
    </w:p>
    <w:p>
      <w:pPr>
        <w:pStyle w:val="Heading2"/>
        <w:spacing w:after="80" w:before="280"/>
      </w:pPr>
      <w:r>
        <w:rPr>
          <w:rFonts w:ascii="Arial" w:cs="Arial" w:eastAsia="Arial" w:hAnsi="Arial"/>
          <w:b/>
          <w:bCs/>
          <w:color w:val="1A4A8A"/>
          <w:sz w:val="24"/>
          <w:szCs w:val="24"/>
        </w:rPr>
        <w:t xml:space="preserve">4.6 Extended Findings and Deeper Observations</w:t>
      </w:r>
    </w:p>
    <w:p>
      <w:pPr>
        <w:pStyle w:val="Heading2"/>
        <w:spacing w:after="80" w:before="280"/>
      </w:pPr>
      <w:r>
        <w:rPr>
          <w:rFonts w:ascii="Arial" w:cs="Arial" w:eastAsia="Arial" w:hAnsi="Arial"/>
          <w:b/>
          <w:bCs/>
          <w:color w:val="1A4A8A"/>
          <w:sz w:val="24"/>
          <w:szCs w:val="24"/>
        </w:rPr>
        <w:t xml:space="preserve">The Council Tax Paradox</w:t>
      </w:r>
    </w:p>
    <w:p>
      <w:pPr>
        <w:spacing w:after="160" w:line="360" w:lineRule="auto"/>
      </w:pPr>
      <w:r>
        <w:rPr>
          <w:rFonts w:ascii="Arial" w:cs="Arial" w:eastAsia="Arial" w:hAnsi="Arial"/>
          <w:color w:val="1A1A1A"/>
          <w:sz w:val="22"/>
          <w:szCs w:val="22"/>
        </w:rPr>
        <w:t xml:space="preserve">One thing that stood out when looking at London boroughs together was how different living conditions can be despite residents living under the same system. People across all 32 boroughs pay council tax, but the data shows large differences between boroughs in areas such as health, employment, crime and the environment. Barking and Dagenham has considerably higher levels of deprivation than Richmond upon Thames. This does not mean that council tax directly causes or solves deprivation, but it raises an important question about whether residents across London experience equivalent levels of public services and quality of life despite contributing through the same local taxation system. Deprivation is therefore not simply about individual circumstance — where someone lives can make a significant difference to the conditions they experience.</w:t>
      </w:r>
    </w:p>
    <w:p>
      <w:pPr>
        <w:pStyle w:val="Heading2"/>
        <w:spacing w:after="80" w:before="280"/>
      </w:pPr>
      <w:r>
        <w:rPr>
          <w:rFonts w:ascii="Arial" w:cs="Arial" w:eastAsia="Arial" w:hAnsi="Arial"/>
          <w:b/>
          <w:bCs/>
          <w:color w:val="1A4A8A"/>
          <w:sz w:val="24"/>
          <w:szCs w:val="24"/>
        </w:rPr>
        <w:t xml:space="preserve">Within-Borough Inequality Is Hidden by Borough-Level Analysis</w:t>
      </w:r>
    </w:p>
    <w:p>
      <w:pPr>
        <w:spacing w:after="160" w:line="360" w:lineRule="auto"/>
      </w:pPr>
      <w:r>
        <w:rPr>
          <w:rFonts w:ascii="Arial" w:cs="Arial" w:eastAsia="Arial" w:hAnsi="Arial"/>
          <w:color w:val="1A1A1A"/>
          <w:sz w:val="22"/>
          <w:szCs w:val="22"/>
        </w:rPr>
        <w:t xml:space="preserve">A consistent limitation of this study is that looking at deprivation at borough level does not show the full picture. Each borough is treated as one overall area, but there can be large differences between neighbourhoods within the same borough. Kensington and Chelsea is a striking example — the borough contains some extremely wealthy areas alongside areas with much higher levels of deprivation. Looking only at the borough average makes these differences less visible. This is a limitation of the analysis, but it also shows why deprivation should not be viewed simply as a problem affecting an entire borough.</w:t>
      </w:r>
    </w:p>
    <w:p>
      <w:pPr>
        <w:pStyle w:val="Heading2"/>
        <w:spacing w:after="80" w:before="280"/>
      </w:pPr>
      <w:r>
        <w:rPr>
          <w:rFonts w:ascii="Arial" w:cs="Arial" w:eastAsia="Arial" w:hAnsi="Arial"/>
          <w:b/>
          <w:bCs/>
          <w:color w:val="1A4A8A"/>
          <w:sz w:val="24"/>
          <w:szCs w:val="24"/>
        </w:rPr>
        <w:t xml:space="preserve">The Education Anomaly</w:t>
      </w:r>
    </w:p>
    <w:p>
      <w:pPr>
        <w:spacing w:after="160" w:line="360" w:lineRule="auto"/>
      </w:pPr>
      <w:r>
        <w:rPr>
          <w:rFonts w:ascii="Arial" w:cs="Arial" w:eastAsia="Arial" w:hAnsi="Arial"/>
          <w:color w:val="1A1A1A"/>
          <w:sz w:val="22"/>
          <w:szCs w:val="22"/>
        </w:rPr>
        <w:t xml:space="preserve">Education was not among the strongest features in the SHAP analysis — a finding that runs counter to the intuitive assumption that poor educational outcomes and poverty go hand in hand. This may reflect the fact that several highly deprived boroughs in east London — including Tower Hamlets and Hackney — have invested significantly in school improvement over the past two decades and now perform above the London average on certain educational measures, despite remaining among the most economically deprived. This suggests that targeted educational investment can partially decouple education outcomes from broader socioeconomic disadvantage — an important policy implication.</w:t>
      </w:r>
    </w:p>
    <w:p>
      <w:pPr>
        <w:pStyle w:val="Heading2"/>
        <w:spacing w:after="80" w:before="280"/>
      </w:pPr>
      <w:r>
        <w:rPr>
          <w:rFonts w:ascii="Arial" w:cs="Arial" w:eastAsia="Arial" w:hAnsi="Arial"/>
          <w:b/>
          <w:bCs/>
          <w:color w:val="1A4A8A"/>
          <w:sz w:val="24"/>
          <w:szCs w:val="24"/>
        </w:rPr>
        <w:t xml:space="preserve">Crime as Consequence, Not Cause</w:t>
      </w:r>
    </w:p>
    <w:p>
      <w:pPr>
        <w:spacing w:after="160" w:line="360" w:lineRule="auto"/>
      </w:pPr>
      <w:r>
        <w:rPr>
          <w:rFonts w:ascii="Arial" w:cs="Arial" w:eastAsia="Arial" w:hAnsi="Arial"/>
          <w:color w:val="1A1A1A"/>
          <w:sz w:val="22"/>
          <w:szCs w:val="22"/>
        </w:rPr>
        <w:t xml:space="preserve">Total recorded crime was not as strongly related to deprivation as might initially be expected. Westminster has the highest number of recorded crimes but is not among the most deprived boroughs — one possible explanation is that Westminster attracts very large numbers of workers, tourists and visitors, meaning the number of people present far exceeds its resident population. The crime deprivation domain score — which uses a different methodology than raw crime counts — appeared more useful in the model than raw totals, suggesting that how crime is measured matters significantly when examining its relationship with deprivation.</w:t>
      </w:r>
    </w:p>
    <w:p>
      <w:pPr>
        <w:pStyle w:val="Heading2"/>
        <w:spacing w:after="80" w:before="280"/>
      </w:pPr>
      <w:r>
        <w:rPr>
          <w:rFonts w:ascii="Arial" w:cs="Arial" w:eastAsia="Arial" w:hAnsi="Arial"/>
          <w:b/>
          <w:bCs/>
          <w:color w:val="1A4A8A"/>
          <w:sz w:val="24"/>
          <w:szCs w:val="24"/>
        </w:rPr>
        <w:t xml:space="preserve">The East-West Divide</w:t>
      </w:r>
    </w:p>
    <w:p>
      <w:pPr>
        <w:spacing w:after="160" w:line="360" w:lineRule="auto"/>
      </w:pPr>
      <w:r>
        <w:rPr>
          <w:rFonts w:ascii="Arial" w:cs="Arial" w:eastAsia="Arial" w:hAnsi="Arial"/>
          <w:color w:val="1A1A1A"/>
          <w:sz w:val="22"/>
          <w:szCs w:val="22"/>
        </w:rPr>
        <w:t xml:space="preserve">The results confirm a geographical pattern that has characterised London for decades. Many of the more deprived boroughs were concentrated in east and inner-east London, while many of the less deprived boroughs were located in south-west and outer London. This pattern has remained broadly stable across multiple editions of the deprivation index since 2000, suggesting that despite various policy interventions, the structural geography of London inequality is deeply entrenched and resistant to change through short-term measures alone.</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5. Discussion</w:t>
      </w:r>
    </w:p>
    <w:p>
      <w:pPr>
        <w:spacing w:after="160" w:line="360" w:lineRule="auto"/>
      </w:pPr>
      <w:r>
        <w:rPr>
          <w:rFonts w:ascii="Arial" w:cs="Arial" w:eastAsia="Arial" w:hAnsi="Arial"/>
          <w:color w:val="1A1A1A"/>
          <w:sz w:val="22"/>
          <w:szCs w:val="22"/>
        </w:rPr>
        <w:t xml:space="preserve">The findings of this study support and extend existing research on urban inequality in London. The dominance of employment deprivation as the primary predictor of overall deprivation is consistent with the IoD2019 methodology, which weights income and employment most heavily — yet the SHAP analysis goes further by showing exactly how much more important these factors are compared to health, education, crime, and environment in a predictive model applied to real borough-level data.</w:t>
      </w:r>
    </w:p>
    <w:p>
      <w:pPr>
        <w:spacing w:after="160" w:line="360" w:lineRule="auto"/>
      </w:pPr>
      <w:r>
        <w:rPr>
          <w:rFonts w:ascii="Arial" w:cs="Arial" w:eastAsia="Arial" w:hAnsi="Arial"/>
          <w:color w:val="1A1A1A"/>
          <w:sz w:val="22"/>
          <w:szCs w:val="22"/>
        </w:rPr>
        <w:t xml:space="preserve">The weak relationship between raw crime counts and overall deprivation — the Westminster Effect — is a finding with practical implications. Policy interventions that target crime volume reduction may have limited impact on deprivation scores if they do not simultaneously address the underlying economic drivers. The crime domain score, which accounts for the nature and context of crime rather than simply its volume, proved a more meaningful predictor.</w:t>
      </w:r>
    </w:p>
    <w:p>
      <w:pPr>
        <w:spacing w:after="160" w:line="360" w:lineRule="auto"/>
      </w:pPr>
      <w:r>
        <w:rPr>
          <w:rFonts w:ascii="Arial" w:cs="Arial" w:eastAsia="Arial" w:hAnsi="Arial"/>
          <w:color w:val="1A1A1A"/>
          <w:sz w:val="22"/>
          <w:szCs w:val="22"/>
        </w:rPr>
        <w:t xml:space="preserve">The council tax observation highlights a structural inequity that aggregate statistics often obscure: the same civic obligation produces vastly different outcomes depending on geography. This is not a new phenomenon, but this study makes it quantifiable through the juxtaposition of deprivation domain scores across boroughs that contribute to the same taxation system.</w:t>
      </w:r>
    </w:p>
    <w:p>
      <w:pPr>
        <w:spacing w:after="160" w:line="360" w:lineRule="auto"/>
      </w:pPr>
      <w:r>
        <w:rPr>
          <w:rFonts w:ascii="Arial" w:cs="Arial" w:eastAsia="Arial" w:hAnsi="Arial"/>
          <w:color w:val="1A1A1A"/>
          <w:sz w:val="22"/>
          <w:szCs w:val="22"/>
        </w:rPr>
        <w:t xml:space="preserve">From a methodological standpoint, the study demonstrates that official government multi-domain indices, when combined with machine learning and explainability tools, can produce actionable insights that go beyond what the indices themselves communicate. The IoD2019 tells us where deprivation exists; this study tells us which factors drive it most and how those factors distribute spatially.</w:t>
      </w:r>
    </w:p>
    <w:p>
      <w:pPr>
        <w:pStyle w:val="Heading2"/>
        <w:spacing w:after="80" w:before="280"/>
      </w:pPr>
      <w:r>
        <w:rPr>
          <w:rFonts w:ascii="Arial" w:cs="Arial" w:eastAsia="Arial" w:hAnsi="Arial"/>
          <w:b/>
          <w:bCs/>
          <w:color w:val="1A4A8A"/>
          <w:sz w:val="24"/>
          <w:szCs w:val="24"/>
        </w:rPr>
        <w:t xml:space="preserve">5.1 Limitations</w:t>
      </w:r>
    </w:p>
    <w:p>
      <w:pPr>
        <w:spacing w:after="160" w:line="360" w:lineRule="auto"/>
      </w:pPr>
      <w:r>
        <w:rPr>
          <w:rFonts w:ascii="Arial" w:cs="Arial" w:eastAsia="Arial" w:hAnsi="Arial"/>
          <w:color w:val="1A1A1A"/>
          <w:sz w:val="22"/>
          <w:szCs w:val="22"/>
        </w:rPr>
        <w:t xml:space="preserve">Several limitations should be acknowledged. First, the dataset is limited to 32 boroughs, which is a small sample for machine learning. While the model performed well, results should be interpreted with caution given the limited statistical power. Second, the IoD2019 data is from 2019 and may not fully reflect the post-COVID socioeconomic landscape. Third, borough-level aggregation masks within-borough variation, as illustrated by the Kensington and Chelsea example. Fourth, the model identifies associations rather than causal relationships — employment deprivation predicts overall deprivation, but this does not prove that improving employment directly reduces deprivation.</w:t>
      </w:r>
    </w:p>
    <w:p>
      <w:pPr>
        <w:pStyle w:val="Heading2"/>
        <w:spacing w:after="80" w:before="280"/>
      </w:pPr>
      <w:r>
        <w:rPr>
          <w:rFonts w:ascii="Arial" w:cs="Arial" w:eastAsia="Arial" w:hAnsi="Arial"/>
          <w:b/>
          <w:bCs/>
          <w:color w:val="1A4A8A"/>
          <w:sz w:val="24"/>
          <w:szCs w:val="24"/>
        </w:rPr>
        <w:t xml:space="preserve">5.2 Future Work</w:t>
      </w:r>
    </w:p>
    <w:p>
      <w:pPr>
        <w:spacing w:after="160" w:line="360" w:lineRule="auto"/>
      </w:pPr>
      <w:r>
        <w:rPr>
          <w:rFonts w:ascii="Arial" w:cs="Arial" w:eastAsia="Arial" w:hAnsi="Arial"/>
          <w:color w:val="1A1A1A"/>
          <w:sz w:val="22"/>
          <w:szCs w:val="22"/>
        </w:rPr>
        <w:t xml:space="preserve">Future research could extend this analysis in several directions. Applying the methodology at ward or LSOA level would reveal within-borough inequality that borough averages conceal. Incorporating temporal data across multiple IoD releases (2010, 2015, 2019) would enable longitudinal analysis of how inequality has changed over time. Extending the framework to other European cities — using comparable national deprivation indices — would allow cross-country comparison, a direction particularly relevant to EU-funded research initiatives. Additionally, integrating housing affordability data and transport accessibility metrics would add further explanatory depth.</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6. Conclusion</w:t>
      </w:r>
    </w:p>
    <w:p>
      <w:pPr>
        <w:spacing w:after="160" w:line="360" w:lineRule="auto"/>
      </w:pPr>
      <w:r>
        <w:rPr>
          <w:rFonts w:ascii="Arial" w:cs="Arial" w:eastAsia="Arial" w:hAnsi="Arial"/>
          <w:color w:val="1A1A1A"/>
          <w:sz w:val="22"/>
          <w:szCs w:val="22"/>
        </w:rPr>
        <w:t xml:space="preserve">This study set out to investigate the socioeconomic drivers of deprivation across London's 32 boroughs using machine learning and open government data. Three research questions were posed: which factors most strongly predict deprivation, whether ML can accurately predict deprivation from combined indicators, and what spatial patterns emerge at borough level.</w:t>
      </w:r>
    </w:p>
    <w:p>
      <w:pPr>
        <w:spacing w:after="160" w:line="360" w:lineRule="auto"/>
      </w:pPr>
      <w:r>
        <w:rPr>
          <w:rFonts w:ascii="Arial" w:cs="Arial" w:eastAsia="Arial" w:hAnsi="Arial"/>
          <w:color w:val="1A1A1A"/>
          <w:sz w:val="22"/>
          <w:szCs w:val="22"/>
        </w:rPr>
        <w:t xml:space="preserve">All three questions have been addressed. Employment deprivation emerged as the strongest single predictor of overall deprivation, followed by income. The Random Forest model achieved 89.7% predictive accuracy. A persistent east-west geographic divide was confirmed, with Barking and Dagenham and Hackney most deprived and Richmond upon Thames least deprived.</w:t>
      </w:r>
    </w:p>
    <w:p>
      <w:pPr>
        <w:spacing w:after="160" w:line="360" w:lineRule="auto"/>
      </w:pPr>
      <w:r>
        <w:rPr>
          <w:rFonts w:ascii="Arial" w:cs="Arial" w:eastAsia="Arial" w:hAnsi="Arial"/>
          <w:color w:val="1A1A1A"/>
          <w:sz w:val="22"/>
          <w:szCs w:val="22"/>
        </w:rPr>
        <w:t xml:space="preserve">Beyond the headline findings, the study produced several unexpected observations — the weakness of education as a predictor, the Westminster crime anomaly, and the council tax paradox — each of which adds nuance to how urban deprivation in London should be understood and addressed.</w:t>
      </w:r>
    </w:p>
    <w:p>
      <w:pPr>
        <w:spacing w:after="160" w:line="360" w:lineRule="auto"/>
      </w:pPr>
      <w:r>
        <w:rPr>
          <w:rFonts w:ascii="Arial" w:cs="Arial" w:eastAsia="Arial" w:hAnsi="Arial"/>
          <w:color w:val="1A1A1A"/>
          <w:sz w:val="22"/>
          <w:szCs w:val="22"/>
        </w:rPr>
        <w:t xml:space="preserve">The interactive dashboard deployed alongside this study makes these findings accessible to any user, not just researchers or policymakers. In doing so, it reflects a broader principle: that AI and data science, when applied responsibly to public data, can make complex social problems more understandable — and ultimately more addressable.</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References</w:t>
      </w:r>
    </w:p>
    <w:p>
      <w:pPr>
        <w:spacing w:after="160" w:line="360" w:lineRule="auto"/>
      </w:pPr>
      <w:r>
        <w:rPr>
          <w:rFonts w:ascii="Arial" w:cs="Arial" w:eastAsia="Arial" w:hAnsi="Arial"/>
          <w:color w:val="1A1A1A"/>
          <w:sz w:val="22"/>
          <w:szCs w:val="22"/>
        </w:rPr>
        <w:t xml:space="preserve">Arribas-Bel, D., Patino, J.E. and Duque, J.C. (2017) 'Remote sensing-based measurement of Living Environment Deprivation: Improving classical approaches with machine learning', PLOS ONE, 12(5). doi: 10.1371/journal.pone.0176684</w:t>
      </w:r>
    </w:p>
    <w:p>
      <w:pPr>
        <w:spacing w:after="120"/>
      </w:pPr>
      <w:r>
        <w:t xml:space="preserve"/>
      </w:r>
    </w:p>
    <w:p>
      <w:pPr>
        <w:spacing w:after="160" w:line="360" w:lineRule="auto"/>
      </w:pPr>
      <w:r>
        <w:rPr>
          <w:rFonts w:ascii="Arial" w:cs="Arial" w:eastAsia="Arial" w:hAnsi="Arial"/>
          <w:color w:val="1A1A1A"/>
          <w:sz w:val="22"/>
          <w:szCs w:val="22"/>
        </w:rPr>
        <w:t xml:space="preserve">Bell, A., Solano-Kamaiko, I., Nov, O. and Stoyanovich, J. (2022) 'It's Just Not That Simple: An Empirical Study of the Accuracy-Explainability Trade-off in Machine Learning for Public Policy', FAccT '22, Seoul, June 2022. ACM, pp. 248–266.</w:t>
      </w:r>
    </w:p>
    <w:p>
      <w:pPr>
        <w:spacing w:after="120"/>
      </w:pPr>
      <w:r>
        <w:t xml:space="preserve"/>
      </w:r>
    </w:p>
    <w:p>
      <w:pPr>
        <w:spacing w:after="160" w:line="360" w:lineRule="auto"/>
      </w:pPr>
      <w:r>
        <w:rPr>
          <w:rFonts w:ascii="Arial" w:cs="Arial" w:eastAsia="Arial" w:hAnsi="Arial"/>
          <w:color w:val="1A1A1A"/>
          <w:sz w:val="22"/>
          <w:szCs w:val="22"/>
        </w:rPr>
        <w:t xml:space="preserve">Centre for London (2022) Levelling up London: borough by borough data breakdown. Available at: centreforlondon.org</w:t>
      </w:r>
    </w:p>
    <w:p>
      <w:pPr>
        <w:spacing w:after="120"/>
      </w:pPr>
      <w:r>
        <w:t xml:space="preserve"/>
      </w:r>
    </w:p>
    <w:p>
      <w:pPr>
        <w:spacing w:after="160" w:line="360" w:lineRule="auto"/>
      </w:pPr>
      <w:r>
        <w:rPr>
          <w:rFonts w:ascii="Arial" w:cs="Arial" w:eastAsia="Arial" w:hAnsi="Arial"/>
          <w:color w:val="1A1A1A"/>
          <w:sz w:val="22"/>
          <w:szCs w:val="22"/>
        </w:rPr>
        <w:t xml:space="preserve">Higgins, P., Campanera, J.M. and Nobajas, A. (2014) 'Quality of life and spatial inequality in London', European Urban and Regional Studies, 21(1), pp. 42–59.</w:t>
      </w:r>
    </w:p>
    <w:p>
      <w:pPr>
        <w:spacing w:after="120"/>
      </w:pPr>
      <w:r>
        <w:t xml:space="preserve"/>
      </w:r>
    </w:p>
    <w:p>
      <w:pPr>
        <w:spacing w:after="160" w:line="360" w:lineRule="auto"/>
      </w:pPr>
      <w:r>
        <w:rPr>
          <w:rFonts w:ascii="Arial" w:cs="Arial" w:eastAsia="Arial" w:hAnsi="Arial"/>
          <w:color w:val="1A1A1A"/>
          <w:sz w:val="22"/>
          <w:szCs w:val="22"/>
        </w:rPr>
        <w:t xml:space="preserve">Lundberg, S. and Lee, S.I. (2017) 'A unified approach to interpreting model predictions', Advances in Neural Information Processing Systems, 30.</w:t>
      </w:r>
    </w:p>
    <w:p>
      <w:pPr>
        <w:spacing w:after="120"/>
      </w:pPr>
      <w:r>
        <w:t xml:space="preserve"/>
      </w:r>
    </w:p>
    <w:p>
      <w:pPr>
        <w:spacing w:after="160" w:line="360" w:lineRule="auto"/>
      </w:pPr>
      <w:r>
        <w:rPr>
          <w:rFonts w:ascii="Arial" w:cs="Arial" w:eastAsia="Arial" w:hAnsi="Arial"/>
          <w:color w:val="1A1A1A"/>
          <w:sz w:val="22"/>
          <w:szCs w:val="22"/>
        </w:rPr>
        <w:t xml:space="preserve">McLennan, D. et al. (2019) The English Indices of Deprivation 2019 Technical Report. London: Ministry of Housing, Communities and Local Government.</w:t>
      </w:r>
    </w:p>
    <w:p>
      <w:pPr>
        <w:spacing w:after="120"/>
      </w:pPr>
      <w:r>
        <w:t xml:space="preserve"/>
      </w:r>
    </w:p>
    <w:p>
      <w:pPr>
        <w:spacing w:after="160" w:line="360" w:lineRule="auto"/>
      </w:pPr>
      <w:r>
        <w:rPr>
          <w:rFonts w:ascii="Arial" w:cs="Arial" w:eastAsia="Arial" w:hAnsi="Arial"/>
          <w:color w:val="1A1A1A"/>
          <w:sz w:val="22"/>
          <w:szCs w:val="22"/>
        </w:rPr>
        <w:t xml:space="preserve">Metropolitan Police Service (2026) Borough Level Crime Data. Available at: data.london.gov.uk</w:t>
      </w:r>
    </w:p>
    <w:p>
      <w:pPr>
        <w:spacing w:after="120"/>
      </w:pPr>
      <w:r>
        <w:t xml:space="preserve"/>
      </w:r>
    </w:p>
    <w:p>
      <w:pPr>
        <w:spacing w:after="160" w:line="360" w:lineRule="auto"/>
      </w:pPr>
      <w:r>
        <w:rPr>
          <w:rFonts w:ascii="Arial" w:cs="Arial" w:eastAsia="Arial" w:hAnsi="Arial"/>
          <w:color w:val="1A1A1A"/>
          <w:sz w:val="22"/>
          <w:szCs w:val="22"/>
        </w:rPr>
        <w:t xml:space="preserve">Wan, Y. and Su, Q. (2022) 'Urban neighborhood socioeconomic status inference: A machine learning approach', Land Use Policy, 117. doi: 10.1016/j.landusepol.2022.106098</w:t>
      </w:r>
    </w:p>
    <w:p>
      <w:pPr>
        <w:spacing w:after="120"/>
      </w:pPr>
      <w:r>
        <w:t xml:space="preserve"/>
      </w:r>
    </w:p>
    <w:p>
      <w:pPr>
        <w:pStyle w:val="Heading1"/>
        <w:pBdr>
          <w:bottom w:val="single" w:color="1A4A8A" w:sz="6" w:space="6"/>
        </w:pBdr>
        <w:spacing w:after="120" w:before="400"/>
      </w:pPr>
      <w:r>
        <w:rPr>
          <w:rFonts w:ascii="Arial" w:cs="Arial" w:eastAsia="Arial" w:hAnsi="Arial"/>
          <w:b/>
          <w:bCs/>
          <w:color w:val="1A4A8A"/>
          <w:sz w:val="28"/>
          <w:szCs w:val="28"/>
        </w:rPr>
        <w:t xml:space="preserve">Appendix — Technical Implementation</w:t>
      </w:r>
    </w:p>
    <w:p>
      <w:pPr>
        <w:pStyle w:val="Heading2"/>
        <w:spacing w:after="80" w:before="280"/>
      </w:pPr>
      <w:r>
        <w:rPr>
          <w:rFonts w:ascii="Arial" w:cs="Arial" w:eastAsia="Arial" w:hAnsi="Arial"/>
          <w:b/>
          <w:bCs/>
          <w:color w:val="1A4A8A"/>
          <w:sz w:val="24"/>
          <w:szCs w:val="24"/>
        </w:rPr>
        <w:t xml:space="preserve">A. Data Pipeline Summary</w:t>
      </w:r>
    </w:p>
    <w:p>
      <w:pPr>
        <w:pStyle w:val="ListParagraph"/>
        <w:numPr>
          <w:ilvl w:val="0"/>
          <w:numId w:val="2"/>
        </w:numPr>
        <w:spacing w:after="80"/>
      </w:pPr>
      <w:r>
        <w:rPr>
          <w:rFonts w:ascii="Arial" w:cs="Arial" w:eastAsia="Arial" w:hAnsi="Arial"/>
          <w:color w:val="1A1A1A"/>
          <w:sz w:val="22"/>
          <w:szCs w:val="22"/>
        </w:rPr>
        <w:t xml:space="preserve">Source 1: English Indices of Deprivation 2019 — gov.uk (32,844 rows, 57 columns)</w:t>
      </w:r>
    </w:p>
    <w:p>
      <w:pPr>
        <w:pStyle w:val="ListParagraph"/>
        <w:numPr>
          <w:ilvl w:val="0"/>
          <w:numId w:val="2"/>
        </w:numPr>
        <w:spacing w:after="80"/>
      </w:pPr>
      <w:r>
        <w:rPr>
          <w:rFonts w:ascii="Arial" w:cs="Arial" w:eastAsia="Arial" w:hAnsi="Arial"/>
          <w:color w:val="1A1A1A"/>
          <w:sz w:val="22"/>
          <w:szCs w:val="22"/>
        </w:rPr>
        <w:t xml:space="preserve">Source 2: MPS Borough Level Crime — data.london.gov.uk (July 2024 – June 2026)</w:t>
      </w:r>
    </w:p>
    <w:p>
      <w:pPr>
        <w:pStyle w:val="ListParagraph"/>
        <w:numPr>
          <w:ilvl w:val="0"/>
          <w:numId w:val="2"/>
        </w:numPr>
        <w:spacing w:after="80"/>
      </w:pPr>
      <w:r>
        <w:rPr>
          <w:rFonts w:ascii="Arial" w:cs="Arial" w:eastAsia="Arial" w:hAnsi="Arial"/>
          <w:color w:val="1A1A1A"/>
          <w:sz w:val="22"/>
          <w:szCs w:val="22"/>
        </w:rPr>
        <w:t xml:space="preserve">Filtered to 32 London boroughs → aggregated to borough level → merged on borough name</w:t>
      </w:r>
    </w:p>
    <w:p>
      <w:pPr>
        <w:pStyle w:val="ListParagraph"/>
        <w:numPr>
          <w:ilvl w:val="0"/>
          <w:numId w:val="2"/>
        </w:numPr>
        <w:spacing w:after="80"/>
      </w:pPr>
      <w:r>
        <w:rPr>
          <w:rFonts w:ascii="Arial" w:cs="Arial" w:eastAsia="Arial" w:hAnsi="Arial"/>
          <w:color w:val="1A1A1A"/>
          <w:sz w:val="22"/>
          <w:szCs w:val="22"/>
        </w:rPr>
        <w:t xml:space="preserve">Final master dataset: 32 rows × 9 features</w:t>
      </w:r>
    </w:p>
    <w:p>
      <w:pPr>
        <w:pStyle w:val="Heading2"/>
        <w:spacing w:after="80" w:before="280"/>
      </w:pPr>
      <w:r>
        <w:rPr>
          <w:rFonts w:ascii="Arial" w:cs="Arial" w:eastAsia="Arial" w:hAnsi="Arial"/>
          <w:b/>
          <w:bCs/>
          <w:color w:val="1A4A8A"/>
          <w:sz w:val="24"/>
          <w:szCs w:val="24"/>
        </w:rPr>
        <w:t xml:space="preserve">B. Model Configuration</w:t>
      </w:r>
    </w:p>
    <w:p>
      <w:pPr>
        <w:pStyle w:val="ListParagraph"/>
        <w:numPr>
          <w:ilvl w:val="0"/>
          <w:numId w:val="2"/>
        </w:numPr>
        <w:spacing w:after="80"/>
      </w:pPr>
      <w:r>
        <w:rPr>
          <w:rFonts w:ascii="Arial" w:cs="Arial" w:eastAsia="Arial" w:hAnsi="Arial"/>
          <w:color w:val="1A1A1A"/>
          <w:sz w:val="22"/>
          <w:szCs w:val="22"/>
        </w:rPr>
        <w:t xml:space="preserve">Algorithm: Random Forest Regressor (Scikit-learn)</w:t>
      </w:r>
    </w:p>
    <w:p>
      <w:pPr>
        <w:pStyle w:val="ListParagraph"/>
        <w:numPr>
          <w:ilvl w:val="0"/>
          <w:numId w:val="2"/>
        </w:numPr>
        <w:spacing w:after="80"/>
      </w:pPr>
      <w:r>
        <w:rPr>
          <w:rFonts w:ascii="Arial" w:cs="Arial" w:eastAsia="Arial" w:hAnsi="Arial"/>
          <w:color w:val="1A1A1A"/>
          <w:sz w:val="22"/>
          <w:szCs w:val="22"/>
        </w:rPr>
        <w:t xml:space="preserve">n_estimators: 100</w:t>
      </w:r>
    </w:p>
    <w:p>
      <w:pPr>
        <w:pStyle w:val="ListParagraph"/>
        <w:numPr>
          <w:ilvl w:val="0"/>
          <w:numId w:val="2"/>
        </w:numPr>
        <w:spacing w:after="80"/>
      </w:pPr>
      <w:r>
        <w:rPr>
          <w:rFonts w:ascii="Arial" w:cs="Arial" w:eastAsia="Arial" w:hAnsi="Arial"/>
          <w:color w:val="1A1A1A"/>
          <w:sz w:val="22"/>
          <w:szCs w:val="22"/>
        </w:rPr>
        <w:t xml:space="preserve">random_state: 42</w:t>
      </w:r>
    </w:p>
    <w:p>
      <w:pPr>
        <w:pStyle w:val="ListParagraph"/>
        <w:numPr>
          <w:ilvl w:val="0"/>
          <w:numId w:val="2"/>
        </w:numPr>
        <w:spacing w:after="80"/>
      </w:pPr>
      <w:r>
        <w:rPr>
          <w:rFonts w:ascii="Arial" w:cs="Arial" w:eastAsia="Arial" w:hAnsi="Arial"/>
          <w:color w:val="1A1A1A"/>
          <w:sz w:val="22"/>
          <w:szCs w:val="22"/>
        </w:rPr>
        <w:t xml:space="preserve">Train-test split: 80/20 (25 training boroughs, 7 test boroughs)</w:t>
      </w:r>
    </w:p>
    <w:p>
      <w:pPr>
        <w:pStyle w:val="ListParagraph"/>
        <w:numPr>
          <w:ilvl w:val="0"/>
          <w:numId w:val="2"/>
        </w:numPr>
        <w:spacing w:after="80"/>
      </w:pPr>
      <w:r>
        <w:rPr>
          <w:rFonts w:ascii="Arial" w:cs="Arial" w:eastAsia="Arial" w:hAnsi="Arial"/>
          <w:color w:val="1A1A1A"/>
          <w:sz w:val="22"/>
          <w:szCs w:val="22"/>
        </w:rPr>
        <w:t xml:space="preserve">R² Score: 0.897 | RMSE: 1.404</w:t>
      </w:r>
    </w:p>
    <w:p>
      <w:pPr>
        <w:pStyle w:val="Heading2"/>
        <w:spacing w:after="80" w:before="280"/>
      </w:pPr>
      <w:r>
        <w:rPr>
          <w:rFonts w:ascii="Arial" w:cs="Arial" w:eastAsia="Arial" w:hAnsi="Arial"/>
          <w:b/>
          <w:bCs/>
          <w:color w:val="1A4A8A"/>
          <w:sz w:val="24"/>
          <w:szCs w:val="24"/>
        </w:rPr>
        <w:t xml:space="preserve">C. Deployment</w:t>
      </w:r>
    </w:p>
    <w:p>
      <w:pPr>
        <w:pStyle w:val="ListParagraph"/>
        <w:numPr>
          <w:ilvl w:val="0"/>
          <w:numId w:val="2"/>
        </w:numPr>
        <w:spacing w:after="80"/>
      </w:pPr>
      <w:r>
        <w:rPr>
          <w:rFonts w:ascii="Arial" w:cs="Arial" w:eastAsia="Arial" w:hAnsi="Arial"/>
          <w:color w:val="1A1A1A"/>
          <w:sz w:val="22"/>
          <w:szCs w:val="22"/>
        </w:rPr>
        <w:t xml:space="preserve">Development environment: Google Colab</w:t>
      </w:r>
    </w:p>
    <w:p>
      <w:pPr>
        <w:pStyle w:val="ListParagraph"/>
        <w:numPr>
          <w:ilvl w:val="0"/>
          <w:numId w:val="2"/>
        </w:numPr>
        <w:spacing w:after="80"/>
      </w:pPr>
      <w:r>
        <w:rPr>
          <w:rFonts w:ascii="Arial" w:cs="Arial" w:eastAsia="Arial" w:hAnsi="Arial"/>
          <w:color w:val="1A1A1A"/>
          <w:sz w:val="22"/>
          <w:szCs w:val="22"/>
        </w:rPr>
        <w:t xml:space="preserve">Version control: GitHub (github.com/mithun-ksms/london-inequality-dashboard)</w:t>
      </w:r>
    </w:p>
    <w:p>
      <w:pPr>
        <w:pStyle w:val="ListParagraph"/>
        <w:numPr>
          <w:ilvl w:val="0"/>
          <w:numId w:val="2"/>
        </w:numPr>
        <w:spacing w:after="80"/>
      </w:pPr>
      <w:r>
        <w:rPr>
          <w:rFonts w:ascii="Arial" w:cs="Arial" w:eastAsia="Arial" w:hAnsi="Arial"/>
          <w:color w:val="1A1A1A"/>
          <w:sz w:val="22"/>
          <w:szCs w:val="22"/>
        </w:rPr>
        <w:t xml:space="preserve">Deployment: Streamlit Cloud</w:t>
      </w:r>
    </w:p>
    <w:p>
      <w:pPr>
        <w:pStyle w:val="ListParagraph"/>
        <w:numPr>
          <w:ilvl w:val="0"/>
          <w:numId w:val="2"/>
        </w:numPr>
        <w:spacing w:after="80"/>
      </w:pPr>
      <w:r>
        <w:rPr>
          <w:rFonts w:ascii="Arial" w:cs="Arial" w:eastAsia="Arial" w:hAnsi="Arial"/>
          <w:color w:val="1A1A1A"/>
          <w:sz w:val="22"/>
          <w:szCs w:val="22"/>
        </w:rPr>
        <w:t xml:space="preserve">Live URL: londoninequalitydashboard-r8w46bkkvvt6xmeyxbu7ku.streamlit.app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2026-08-12T15:17:23.370Z</dcterms:created>
  <dcterms:modified xsi:type="dcterms:W3CDTF">2026-08-12T15:17:23.389Z</dcterms:modified>
</cp:coreProperties>
</file>

<file path=docProps/custom.xml><?xml version="1.0" encoding="utf-8"?>
<Properties xmlns="http://schemas.openxmlformats.org/officeDocument/2006/custom-properties" xmlns:vt="http://schemas.openxmlformats.org/officeDocument/2006/docPropsVTypes"/>
</file>