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Insights</w:t>
      </w:r>
    </w:p>
    <w:p>
      <w:r>
        <w:t>Electronics-related categories generate the highest overall sales.</w:t>
      </w:r>
    </w:p>
    <w:p>
      <w:r>
        <w:t>Smartwatches are among the top-performing product segments.</w:t>
      </w:r>
    </w:p>
    <w:p>
      <w:r>
        <w:t>Home &amp; Kitchen appliances show consistently strong demand.</w:t>
      </w:r>
    </w:p>
    <w:p>
      <w:r>
        <w:t>High rating counts significantly influence total sales volume.</w:t>
      </w:r>
    </w:p>
    <w:p>
      <w:r>
        <w:t>Assumed profit margin remains stable across categories.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