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color w:val="1F4E79"/>
          <w:sz w:val="28"/>
          <w:szCs w:val="28"/>
        </w:rPr>
        <w:t xml:space="preserve">NEXA INTEGRATORS PVT LTD</w:t>
      </w:r>
    </w:p>
    <w:p>
      <w:pPr>
        <w:spacing w:after="240"/>
        <w:jc w:val="right"/>
      </w:pPr>
      <w:r>
        <w:rPr>
          <w:rFonts w:ascii="Calibri" w:cs="Calibri" w:eastAsia="Calibri" w:hAnsi="Calibri"/>
          <w:color w:val="555555"/>
          <w:sz w:val="18"/>
          <w:szCs w:val="18"/>
        </w:rPr>
        <w:t xml:space="preserve">No. 88, 5th Main, HSR Layout Sector 6, Bengaluru 560102 · GSTIN 29AAFCN5563K1ZX</w:t>
      </w:r>
    </w:p>
    <w:p>
      <w:pPr>
        <w:spacing w:after="160" w:line="300"/>
      </w:pPr>
      <w:r>
        <w:rPr>
          <w:rFonts w:ascii="Calibri" w:cs="Calibri" w:eastAsia="Calibri" w:hAnsi="Calibri"/>
          <w:sz w:val="22"/>
          <w:szCs w:val="22"/>
        </w:rPr>
        <w:t xml:space="preserve">Ref: NXI/MER/2609</w:t>
      </w:r>
    </w:p>
    <w:p>
      <w:pPr>
        <w:spacing w:after="160" w:line="300"/>
      </w:pPr>
      <w:r>
        <w:rPr>
          <w:rFonts w:ascii="Calibri" w:cs="Calibri" w:eastAsia="Calibri" w:hAnsi="Calibri"/>
          <w:sz w:val="22"/>
          <w:szCs w:val="22"/>
        </w:rPr>
        <w:t xml:space="preserve">26 September 2026</w:t>
      </w:r>
    </w:p>
    <w:p>
      <w:pPr>
        <w:spacing w:after="160" w:line="300"/>
      </w:pPr>
      <w:r>
        <w:rPr>
          <w:rFonts w:ascii="Calibri" w:cs="Calibri" w:eastAsia="Calibri" w:hAnsi="Calibri"/>
          <w:sz w:val="22"/>
          <w:szCs w:val="22"/>
        </w:rPr>
        <w:t xml:space="preserve">To Priya, Category Buyer, Meridian Diagnostics, Bengaluru</w:t>
      </w:r>
    </w:p>
    <w:p>
      <w:pPr>
        <w:spacing w:after="160" w:line="300"/>
      </w:pPr>
      <w:r>
        <w:rPr>
          <w:rFonts w:ascii="Calibri" w:cs="Calibri" w:eastAsia="Calibri" w:hAnsi="Calibri"/>
          <w:b/>
          <w:bCs/>
          <w:sz w:val="22"/>
          <w:szCs w:val="22"/>
        </w:rPr>
        <w:t xml:space="preserve">Subject: Commercial proposal for your IT Refresh 2026</w:t>
      </w:r>
    </w:p>
    <w:p>
      <w:pPr>
        <w:spacing w:after="160" w:line="300"/>
      </w:pPr>
      <w:r>
        <w:rPr>
          <w:rFonts w:ascii="Calibri" w:cs="Calibri" w:eastAsia="Calibri" w:hAnsi="Calibri"/>
          <w:sz w:val="22"/>
          <w:szCs w:val="22"/>
        </w:rPr>
        <w:t xml:space="preserve">Dear Priya,</w:t>
      </w:r>
    </w:p>
    <w:p>
      <w:pPr>
        <w:spacing w:after="160" w:line="300"/>
      </w:pPr>
      <w:r>
        <w:rPr>
          <w:rFonts w:ascii="Calibri" w:cs="Calibri" w:eastAsia="Calibri" w:hAnsi="Calibri"/>
          <w:sz w:val="22"/>
          <w:szCs w:val="22"/>
        </w:rPr>
        <w:t xml:space="preserve">Thank you for inviting Nexa Integrators to quote for Meridian's IT refresh across your Bengaluru, Chennai and Hyderabad hubs. We have gone through the specification and set out our commercial proposal below. All prices are per unit and exclude GST, which will be charged extra at 18%.</w:t>
      </w:r>
    </w:p>
    <w:p>
      <w:pPr>
        <w:pStyle w:val="Heading2"/>
        <w:spacing w:after="120" w:before="240"/>
      </w:pPr>
      <w:r>
        <w:rPr>
          <w:rFonts w:ascii="Calibri" w:cs="Calibri" w:eastAsia="Calibri" w:hAnsi="Calibri"/>
          <w:b/>
          <w:bCs/>
          <w:color w:val="1F4E79"/>
          <w:sz w:val="26"/>
          <w:szCs w:val="26"/>
        </w:rPr>
        <w:t xml:space="preserve">Computing</w:t>
      </w:r>
    </w:p>
    <w:p>
      <w:pPr>
        <w:spacing w:after="160" w:line="300"/>
      </w:pPr>
      <w:r>
        <w:rPr>
          <w:rFonts w:ascii="Calibri" w:cs="Calibri" w:eastAsia="Calibri" w:hAnsi="Calibri"/>
          <w:sz w:val="22"/>
          <w:szCs w:val="22"/>
        </w:rPr>
        <w:t xml:space="preserve">For the 60 business laptops, 14th Gen Core i5 stock is on long allocation with our distributors, so we propose the HP ProBook 440 G10, Intel Core i5-1335U (13th Gen), 16 GB, 512 GB SSD, 14-inch, at ₹63,250 per unit. We believe it is fully adequate for your staff workloads. For the 10 management laptops we offer the HP EliteBook 840 G11 with Core i7 (14th Gen), 32 GB and a 1 TB SSD at ₹1,07,100 each, and each laptop user will get an HP Prelude 15.6-inch backpack at ₹1,200.</w:t>
      </w:r>
    </w:p>
    <w:p>
      <w:pPr>
        <w:spacing w:after="160" w:line="300"/>
      </w:pPr>
      <w:r>
        <w:rPr>
          <w:rFonts w:ascii="Calibri" w:cs="Calibri" w:eastAsia="Calibri" w:hAnsi="Calibri"/>
          <w:sz w:val="22"/>
          <w:szCs w:val="22"/>
        </w:rPr>
        <w:t xml:space="preserve">The 40 lab desktops will be the HP Pro SFF 400 G9 (Core i5 14th Gen, 16 GB, 512 GB SSD) at ₹52,500 per unit, and the 20 front-desk machines the HP Pro Tower 280 G9 (Core i3, 8 GB, 256 GB SSD) at ₹38,750. For docking, the HP USB-C Dock G5 is priced at ₹13,600.</w:t>
      </w:r>
    </w:p>
    <w:p>
      <w:pPr>
        <w:pStyle w:val="Heading2"/>
        <w:spacing w:after="120" w:before="240"/>
      </w:pPr>
      <w:r>
        <w:rPr>
          <w:rFonts w:ascii="Calibri" w:cs="Calibri" w:eastAsia="Calibri" w:hAnsi="Calibri"/>
          <w:b/>
          <w:bCs/>
          <w:color w:val="1F4E79"/>
          <w:sz w:val="26"/>
          <w:szCs w:val="26"/>
        </w:rPr>
        <w:t xml:space="preserve">Displays and accessories</w:t>
      </w:r>
    </w:p>
    <w:p>
      <w:pPr>
        <w:spacing w:after="160" w:line="300"/>
      </w:pPr>
      <w:r>
        <w:rPr>
          <w:rFonts w:ascii="Calibri" w:cs="Calibri" w:eastAsia="Calibri" w:hAnsi="Calibri"/>
          <w:sz w:val="22"/>
          <w:szCs w:val="22"/>
        </w:rPr>
        <w:t xml:space="preserve">We propose HP P24 G5 24-inch FHD monitors at ₹9,310 and HP E27q G5 27-inch QHD monitors at ₹20,350. Keyboard and mouse sets come to ₹1,140 for the wired HP 225 combo and ₹2,220 for the wireless HP 235 combo. The Poly Blackwire 3320 USB headset is ₹2,480, and the HP 320 FHD webcam is ₹4,370.</w:t>
      </w:r>
    </w:p>
    <w:p>
      <w:pPr>
        <w:spacing w:after="160" w:line="300"/>
      </w:pPr>
      <w:r>
        <w:rPr>
          <w:rFonts w:ascii="Calibri" w:cs="Calibri" w:eastAsia="Calibri" w:hAnsi="Calibri"/>
          <w:sz w:val="22"/>
          <w:szCs w:val="22"/>
        </w:rPr>
        <w:t xml:space="preserve">For cabling at the desks, 1.5 m HDMI cables are ₹361 each and HP USB-C to HDMI adapters are ₹1,470 each. The Samsung T7 1 TB external SSDs are ₹8,930 each, and for the hubs we offer the Synology DS923+ 4-bay NAS at ₹57,600 per unit, one per hub.</w:t>
      </w:r>
    </w:p>
    <w:p>
      <w:pPr>
        <w:pStyle w:val="Heading2"/>
        <w:spacing w:after="120" w:before="240"/>
      </w:pPr>
      <w:r>
        <w:rPr>
          <w:rFonts w:ascii="Calibri" w:cs="Calibri" w:eastAsia="Calibri" w:hAnsi="Calibri"/>
          <w:b/>
          <w:bCs/>
          <w:color w:val="1F4E79"/>
          <w:sz w:val="26"/>
          <w:szCs w:val="26"/>
        </w:rPr>
        <w:t xml:space="preserve">Printing, scanning and power</w:t>
      </w:r>
    </w:p>
    <w:p>
      <w:pPr>
        <w:spacing w:after="160" w:line="300"/>
      </w:pPr>
      <w:r>
        <w:rPr>
          <w:rFonts w:ascii="Calibri" w:cs="Calibri" w:eastAsia="Calibri" w:hAnsi="Calibri"/>
          <w:sz w:val="22"/>
          <w:szCs w:val="22"/>
        </w:rPr>
        <w:t xml:space="preserve">The mono network printer will be the HP LaserJet Pro 4003dn at ₹16,900, and the colour multifunction unit the HP Color LaserJet Pro MFP 4303fdw at ₹41,850. For specimen labels we recommend the Zebra ZD421t at ₹20,700 and the Zebra DS2208 2D scanner at ₹6,370.</w:t>
      </w:r>
    </w:p>
    <w:p>
      <w:pPr>
        <w:spacing w:after="160" w:line="300"/>
      </w:pPr>
      <w:r>
        <w:rPr>
          <w:rFonts w:ascii="Calibri" w:cs="Calibri" w:eastAsia="Calibri" w:hAnsi="Calibri"/>
          <w:sz w:val="22"/>
          <w:szCs w:val="22"/>
        </w:rPr>
        <w:t xml:space="preserve">Online UPS units are from APC: the 1 kVA model at ₹15,050 and the 3 kVA model at ₹51,150. Six-socket surge protectors are ₹927 each.</w:t>
      </w:r>
    </w:p>
    <w:p>
      <w:pPr>
        <w:pStyle w:val="Heading2"/>
        <w:spacing w:after="120" w:before="240"/>
      </w:pPr>
      <w:r>
        <w:rPr>
          <w:rFonts w:ascii="Calibri" w:cs="Calibri" w:eastAsia="Calibri" w:hAnsi="Calibri"/>
          <w:b/>
          <w:bCs/>
          <w:color w:val="1F4E79"/>
          <w:sz w:val="26"/>
          <w:szCs w:val="26"/>
        </w:rPr>
        <w:t xml:space="preserve">Networking</w:t>
      </w:r>
    </w:p>
    <w:p>
      <w:pPr>
        <w:spacing w:after="160" w:line="300"/>
      </w:pPr>
      <w:r>
        <w:rPr>
          <w:rFonts w:ascii="Calibri" w:cs="Calibri" w:eastAsia="Calibri" w:hAnsi="Calibri"/>
          <w:sz w:val="22"/>
          <w:szCs w:val="22"/>
        </w:rPr>
        <w:t xml:space="preserve">Core switching is the Aruba Instant On 1930 24-port PoE managed switch at ₹61,100, with TP-Link 8-port unmanaged switches at ₹3,570. For wireless we propose the Aruba Instant On AP12 (Wi-Fi 5, 802.11ac Wave 2), ceiling mount at ₹12,900 per access point, which gives very good coverage for clinic floor plans at a lower cost. Branch firewalls will be the Fortinet FortiGate 40F with one year of UTM licensing at ₹85,500.</w:t>
      </w:r>
    </w:p>
    <w:p>
      <w:pPr>
        <w:spacing w:after="160" w:line="300"/>
      </w:pPr>
      <w:r>
        <w:rPr>
          <w:rFonts w:ascii="Calibri" w:cs="Calibri" w:eastAsia="Calibri" w:hAnsi="Calibri"/>
          <w:sz w:val="22"/>
          <w:szCs w:val="22"/>
        </w:rPr>
        <w:t xml:space="preserve">Passive items: 2 m Cat6 patch cords at ₹126 each, Cat6 cable at ₹9,220 per 305 m box, and 12U wall-mount racks at ₹11,300 each.</w:t>
      </w:r>
    </w:p>
    <w:p>
      <w:pPr>
        <w:pStyle w:val="Heading2"/>
        <w:spacing w:after="120" w:before="240"/>
      </w:pPr>
      <w:r>
        <w:rPr>
          <w:rFonts w:ascii="Calibri" w:cs="Calibri" w:eastAsia="Calibri" w:hAnsi="Calibri"/>
          <w:b/>
          <w:bCs/>
          <w:color w:val="1F4E79"/>
          <w:sz w:val="26"/>
          <w:szCs w:val="26"/>
        </w:rPr>
        <w:t xml:space="preserve">Commercial terms</w:t>
      </w:r>
    </w:p>
    <w:p>
      <w:pPr>
        <w:spacing w:after="160" w:line="300"/>
      </w:pPr>
      <w:r>
        <w:rPr>
          <w:rFonts w:ascii="Calibri" w:cs="Calibri" w:eastAsia="Calibri" w:hAnsi="Calibri"/>
          <w:sz w:val="22"/>
          <w:szCs w:val="22"/>
        </w:rPr>
        <w:t xml:space="preserve">Prices are valid for 15 days from the date of this letter. Freight to the Bengaluru hub is included in the prices above; freight to Chennai and Hyderabad will be charged at actuals. We will deliver to all three hubs within 21 days of your purchase order. Payment terms are 45 days from invoice.</w:t>
      </w:r>
    </w:p>
    <w:p>
      <w:pPr>
        <w:spacing w:after="160" w:line="300"/>
      </w:pPr>
      <w:r>
        <w:rPr>
          <w:rFonts w:ascii="Calibri" w:cs="Calibri" w:eastAsia="Calibri" w:hAnsi="Calibri"/>
          <w:sz w:val="22"/>
          <w:szCs w:val="22"/>
        </w:rPr>
        <w:t xml:space="preserve">All hardware carries a 3-year onsite warranty, and our service partners cover Bengaluru, Chennai and Hyderabad. We are an authorised partner for HP and Aruba in Karnataka. We offer e-waste take-back for replaced equipment through a registered recycler. Our ISO 9001 certificate is attached.</w:t>
      </w:r>
    </w:p>
    <w:p>
      <w:pPr>
        <w:spacing w:after="160" w:line="300"/>
      </w:pPr>
      <w:r>
        <w:rPr>
          <w:rFonts w:ascii="Calibri" w:cs="Calibri" w:eastAsia="Calibri" w:hAnsi="Calibri"/>
          <w:sz w:val="22"/>
          <w:szCs w:val="22"/>
        </w:rPr>
        <w:t xml:space="preserve">Your escalation contact is Deepak Iyer, Head of Sales, on +91 99000 00000. For healthcare references, please speak to Kaveri Diagnostics in Mysuru and Lotus Fertility Centres in Bengaluru.</w:t>
      </w:r>
    </w:p>
    <w:p>
      <w:pPr>
        <w:spacing w:after="160" w:line="300"/>
      </w:pPr>
      <w:r>
        <w:rPr>
          <w:rFonts w:ascii="Calibri" w:cs="Calibri" w:eastAsia="Calibri" w:hAnsi="Calibri"/>
          <w:sz w:val="22"/>
          <w:szCs w:val="22"/>
        </w:rPr>
        <w:t xml:space="preserve">We look forward to working with Meridian.</w:t>
      </w:r>
    </w:p>
    <w:p>
      <w:pPr>
        <w:spacing w:after="160" w:line="300"/>
      </w:pPr>
      <w:r>
        <w:rPr>
          <w:rFonts w:ascii="Calibri" w:cs="Calibri" w:eastAsia="Calibri" w:hAnsi="Calibri"/>
          <w:sz w:val="22"/>
          <w:szCs w:val="22"/>
        </w:rPr>
        <w:t xml:space="preserve">Warm regards,</w:t>
      </w:r>
    </w:p>
    <w:p>
      <w:pPr>
        <w:spacing w:after="0" w:line="300"/>
      </w:pPr>
      <w:r>
        <w:rPr>
          <w:rFonts w:ascii="Calibri" w:cs="Calibri" w:eastAsia="Calibri" w:hAnsi="Calibri"/>
          <w:b/>
          <w:bCs/>
          <w:sz w:val="22"/>
          <w:szCs w:val="22"/>
        </w:rPr>
        <w:t xml:space="preserve">Suresh Nair</w:t>
      </w:r>
    </w:p>
    <w:p>
      <w:pPr>
        <w:spacing w:after="160" w:line="300"/>
      </w:pPr>
      <w:r>
        <w:rPr>
          <w:rFonts w:ascii="Calibri" w:cs="Calibri" w:eastAsia="Calibri" w:hAnsi="Calibri"/>
          <w:sz w:val="22"/>
          <w:szCs w:val="22"/>
        </w:rPr>
        <w:t xml:space="preserve">Director, Nexa Integrators Pvt Ltd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Meridian Diagnostics IT Refresh 2026</dc:title>
  <dc:creator>Nexa Integrators</dc:creator>
  <cp:lastModifiedBy>Un-named</cp:lastModifiedBy>
  <cp:revision>1</cp:revision>
  <dcterms:created xsi:type="dcterms:W3CDTF">2026-09-30T17:22:34.179Z</dcterms:created>
  <dcterms:modified xsi:type="dcterms:W3CDTF">2026-09-30T17:22:34.180Z</dcterms:modified>
</cp:coreProperties>
</file>

<file path=docProps/custom.xml><?xml version="1.0" encoding="utf-8"?>
<Properties xmlns="http://schemas.openxmlformats.org/officeDocument/2006/custom-properties" xmlns:vt="http://schemas.openxmlformats.org/officeDocument/2006/docPropsVTypes"/>
</file>