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64"/>
          <w:szCs w:val="64"/>
        </w:rPr>
        <w:t xml:space="preserve">SlotIQ</w:t>
      </w:r>
    </w:p>
    <w:p>
      <w:pPr>
        <w:spacing w:after="60"/>
      </w:pPr>
      <w:r>
        <w:rPr>
          <w:rFonts w:ascii="Arial" w:cs="Arial" w:eastAsia="Arial" w:hAnsi="Arial"/>
          <w:color w:val="2E5597"/>
          <w:sz w:val="32"/>
          <w:szCs w:val="32"/>
        </w:rPr>
        <w:t xml:space="preserve">AI-Based Warehouse Space and Material Optimization</w:t>
      </w:r>
    </w:p>
    <w:p>
      <w:pPr>
        <w:pBdr>
          <w:bottom w:val="single" w:color="2E5597" w:sz="8" w:space="4"/>
        </w:pBdr>
        <w:spacing w:after="200"/>
      </w:pPr>
      <w:r>
        <w:rPr>
          <w:rFonts w:ascii="Arial" w:cs="Arial" w:eastAsia="Arial" w:hAnsi="Arial"/>
          <w:color w:val="595959"/>
          <w:sz w:val="20"/>
          <w:szCs w:val="20"/>
        </w:rPr>
        <w:t xml:space="preserve">HACKARENA | It Happens @ RAALE #7 | School of Commerce | Team Mitras | Presented by Mithun Aradya</w:t>
      </w:r>
    </w:p>
    <w:p>
      <w:pPr>
        <w:pStyle w:val="Heading1"/>
        <w:spacing w:after="140" w:before="320"/>
      </w:pPr>
      <w:r>
        <w:rPr>
          <w:rFonts w:ascii="Arial" w:cs="Arial" w:eastAsia="Arial" w:hAnsi="Arial"/>
          <w:b/>
          <w:bCs/>
          <w:color w:val="1F3864"/>
          <w:sz w:val="32"/>
          <w:szCs w:val="32"/>
        </w:rPr>
        <w:t xml:space="preserve">1. Problem</w:t>
      </w:r>
    </w:p>
    <w:p>
      <w:pPr>
        <w:spacing w:after="110"/>
      </w:pPr>
      <w:r>
        <w:rPr>
          <w:rFonts w:ascii="Arial" w:cs="Arial" w:eastAsia="Arial" w:hAnsi="Arial"/>
          <w:sz w:val="23"/>
          <w:szCs w:val="23"/>
        </w:rPr>
        <w:t xml:space="preserve">Warehouses store products of different sizes and demand levels. When fast-moving products sit far from the dispatch door, or large items are placed in unsuitable slots, workers walk further, handle more material, and waste storage space. Manual planning cannot keep up with changing demand.</w:t>
      </w:r>
    </w:p>
    <w:p>
      <w:pPr>
        <w:spacing w:after="110"/>
      </w:pPr>
      <w:r>
        <w:rPr>
          <w:rFonts w:ascii="Arial" w:cs="Arial" w:eastAsia="Arial" w:hAnsi="Arial"/>
          <w:b/>
          <w:bCs/>
          <w:sz w:val="23"/>
          <w:szCs w:val="23"/>
        </w:rPr>
        <w:t xml:space="preserve">Our goal: recommend the best storage location for every product, respecting size and capacity limits, and prove the improvement with measured numbers.</w:t>
      </w:r>
    </w:p>
    <w:p>
      <w:pPr>
        <w:pStyle w:val="Heading1"/>
        <w:spacing w:after="140" w:before="320"/>
      </w:pPr>
      <w:r>
        <w:rPr>
          <w:rFonts w:ascii="Arial" w:cs="Arial" w:eastAsia="Arial" w:hAnsi="Arial"/>
          <w:b/>
          <w:bCs/>
          <w:color w:val="1F3864"/>
          <w:sz w:val="32"/>
          <w:szCs w:val="32"/>
        </w:rPr>
        <w:t xml:space="preserve">2. Our solution: SlotIQ</w:t>
      </w:r>
    </w:p>
    <w:p>
      <w:pPr>
        <w:spacing w:after="110"/>
      </w:pPr>
      <w:r>
        <w:rPr>
          <w:rFonts w:ascii="Arial" w:cs="Arial" w:eastAsia="Arial" w:hAnsi="Arial"/>
          <w:sz w:val="23"/>
          <w:szCs w:val="23"/>
        </w:rPr>
        <w:t xml:space="preserve">SlotIQ is a lightweight optimization service that reads inventory and warehouse layout data, validates it, and compares several placement strategies on the same metrics. It runs on a normal laptop with no GPU and no paid APIs.</w:t>
      </w:r>
    </w:p>
    <w:p>
      <w:pPr>
        <w:pStyle w:val="Heading2"/>
        <w:spacing w:after="100" w:before="200"/>
      </w:pPr>
      <w:r>
        <w:rPr>
          <w:rFonts w:ascii="Arial" w:cs="Arial" w:eastAsia="Arial" w:hAnsi="Arial"/>
          <w:b/>
          <w:bCs/>
          <w:color w:val="2E5597"/>
          <w:sz w:val="25"/>
          <w:szCs w:val="25"/>
        </w:rPr>
        <w:t xml:space="preserve">How it works (end to end)</w:t>
      </w:r>
    </w:p>
    <w:p>
      <w:pPr>
        <w:pStyle w:val="ListParagraph"/>
        <w:numPr>
          <w:ilvl w:val="0"/>
          <w:numId w:val="2"/>
        </w:numPr>
        <w:spacing w:after="80"/>
      </w:pPr>
      <w:r>
        <w:rPr>
          <w:rFonts w:ascii="Arial" w:cs="Arial" w:eastAsia="Arial" w:hAnsi="Arial"/>
          <w:b/>
          <w:bCs/>
          <w:sz w:val="23"/>
          <w:szCs w:val="23"/>
        </w:rPr>
        <w:t xml:space="preserve">Input and validation. </w:t>
      </w:r>
      <w:r>
        <w:rPr>
          <w:rFonts w:ascii="Arial" w:cs="Arial" w:eastAsia="Arial" w:hAnsi="Arial"/>
          <w:sz w:val="23"/>
          <w:szCs w:val="23"/>
        </w:rPr>
        <w:t xml:space="preserve">Product and location data is loaded and checked. Duplicates, missing values, invalid dimensions and unavailable locations are rejected with a reason.</w:t>
      </w:r>
    </w:p>
    <w:p>
      <w:pPr>
        <w:pStyle w:val="ListParagraph"/>
        <w:numPr>
          <w:ilvl w:val="0"/>
          <w:numId w:val="2"/>
        </w:numPr>
        <w:spacing w:after="80"/>
      </w:pPr>
      <w:r>
        <w:rPr>
          <w:rFonts w:ascii="Arial" w:cs="Arial" w:eastAsia="Arial" w:hAnsi="Arial"/>
          <w:b/>
          <w:bCs/>
          <w:sz w:val="23"/>
          <w:szCs w:val="23"/>
        </w:rPr>
        <w:t xml:space="preserve">Feature analysis. </w:t>
      </w:r>
      <w:r>
        <w:rPr>
          <w:rFonts w:ascii="Arial" w:cs="Arial" w:eastAsia="Arial" w:hAnsi="Arial"/>
          <w:sz w:val="23"/>
          <w:szCs w:val="23"/>
        </w:rPr>
        <w:t xml:space="preserve">Demand, pick frequency, dimensions, capacity and distance to the dispatch door are prepared as features.</w:t>
      </w:r>
    </w:p>
    <w:p>
      <w:pPr>
        <w:pStyle w:val="ListParagraph"/>
        <w:numPr>
          <w:ilvl w:val="0"/>
          <w:numId w:val="2"/>
        </w:numPr>
        <w:spacing w:after="80"/>
      </w:pPr>
      <w:r>
        <w:rPr>
          <w:rFonts w:ascii="Arial" w:cs="Arial" w:eastAsia="Arial" w:hAnsi="Arial"/>
          <w:b/>
          <w:bCs/>
          <w:sz w:val="23"/>
          <w:szCs w:val="23"/>
        </w:rPr>
        <w:t xml:space="preserve">Optimization. </w:t>
      </w:r>
      <w:r>
        <w:rPr>
          <w:rFonts w:ascii="Arial" w:cs="Arial" w:eastAsia="Arial" w:hAnsi="Arial"/>
          <w:sz w:val="23"/>
          <w:szCs w:val="23"/>
        </w:rPr>
        <w:t xml:space="preserve">Each strategy assigns products to locations while respecting capacity and compatibility.</w:t>
      </w:r>
    </w:p>
    <w:p>
      <w:pPr>
        <w:pStyle w:val="ListParagraph"/>
        <w:numPr>
          <w:ilvl w:val="0"/>
          <w:numId w:val="2"/>
        </w:numPr>
        <w:spacing w:after="80"/>
      </w:pPr>
      <w:r>
        <w:rPr>
          <w:rFonts w:ascii="Arial" w:cs="Arial" w:eastAsia="Arial" w:hAnsi="Arial"/>
          <w:b/>
          <w:bCs/>
          <w:sz w:val="23"/>
          <w:szCs w:val="23"/>
        </w:rPr>
        <w:t xml:space="preserve">Explanation. </w:t>
      </w:r>
      <w:r>
        <w:rPr>
          <w:rFonts w:ascii="Arial" w:cs="Arial" w:eastAsia="Arial" w:hAnsi="Arial"/>
          <w:sz w:val="23"/>
          <w:szCs w:val="23"/>
        </w:rPr>
        <w:t xml:space="preserve">Every recommendation comes with a plain-English reason.</w:t>
      </w:r>
    </w:p>
    <w:p>
      <w:pPr>
        <w:pStyle w:val="ListParagraph"/>
        <w:numPr>
          <w:ilvl w:val="0"/>
          <w:numId w:val="2"/>
        </w:numPr>
        <w:spacing w:after="80"/>
      </w:pPr>
      <w:r>
        <w:rPr>
          <w:rFonts w:ascii="Arial" w:cs="Arial" w:eastAsia="Arial" w:hAnsi="Arial"/>
          <w:b/>
          <w:bCs/>
          <w:sz w:val="23"/>
          <w:szCs w:val="23"/>
        </w:rPr>
        <w:t xml:space="preserve">Evaluation. </w:t>
      </w:r>
      <w:r>
        <w:rPr>
          <w:rFonts w:ascii="Arial" w:cs="Arial" w:eastAsia="Arial" w:hAnsi="Arial"/>
          <w:sz w:val="23"/>
          <w:szCs w:val="23"/>
        </w:rPr>
        <w:t xml:space="preserve">The new layout is compared with the existing one on distance, space use, feasibility, moves and cost.</w:t>
      </w:r>
    </w:p>
    <w:p>
      <w:pPr>
        <w:pStyle w:val="Heading1"/>
        <w:spacing w:after="140" w:before="320"/>
      </w:pPr>
      <w:r>
        <w:rPr>
          <w:rFonts w:ascii="Arial" w:cs="Arial" w:eastAsia="Arial" w:hAnsi="Arial"/>
          <w:b/>
          <w:bCs/>
          <w:color w:val="1F3864"/>
          <w:sz w:val="32"/>
          <w:szCs w:val="32"/>
        </w:rPr>
        <w:t xml:space="preserve">3. Strategies compared</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226"/>
      </w:tblGrid>
      <w:tr>
        <w:trPr>
          <w:tblHeader/>
        </w:trPr>
        <w:tc>
          <w:tcPr>
            <w:tcW w:type="dxa" w:w="25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r>
              <w:rPr>
                <w:rFonts w:ascii="Arial" w:cs="Arial" w:eastAsia="Arial" w:hAnsi="Arial"/>
                <w:b/>
                <w:bCs/>
                <w:color w:val="FFFFFF"/>
                <w:sz w:val="21"/>
                <w:szCs w:val="21"/>
              </w:rPr>
              <w:t xml:space="preserve">Strategy</w:t>
            </w:r>
          </w:p>
        </w:tc>
        <w:tc>
          <w:tcPr>
            <w:tcW w:type="dxa" w:w="37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r>
              <w:rPr>
                <w:rFonts w:ascii="Arial" w:cs="Arial" w:eastAsia="Arial" w:hAnsi="Arial"/>
                <w:b/>
                <w:bCs/>
                <w:color w:val="FFFFFF"/>
                <w:sz w:val="21"/>
                <w:szCs w:val="21"/>
              </w:rPr>
              <w:t xml:space="preserve">Idea</w:t>
            </w:r>
          </w:p>
        </w:tc>
        <w:tc>
          <w:tcPr>
            <w:tcW w:type="dxa" w:w="3226"/>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r>
              <w:rPr>
                <w:rFonts w:ascii="Arial" w:cs="Arial" w:eastAsia="Arial" w:hAnsi="Arial"/>
                <w:b/>
                <w:bCs/>
                <w:color w:val="FFFFFF"/>
                <w:sz w:val="21"/>
                <w:szCs w:val="21"/>
              </w:rPr>
              <w:t xml:space="preserve">Why it matters</w:t>
            </w:r>
          </w:p>
        </w:tc>
      </w:tr>
      <w:tr>
        <w:trPr>
          <w:tblHeader w:val="false"/>
        </w:trPr>
        <w:tc>
          <w:tcPr>
            <w:tcW w:type="dxa" w:w="25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r>
              <w:rPr>
                <w:rFonts w:ascii="Arial" w:cs="Arial" w:eastAsia="Arial" w:hAnsi="Arial"/>
                <w:b/>
                <w:bCs/>
                <w:color w:val="000000"/>
                <w:sz w:val="21"/>
                <w:szCs w:val="21"/>
              </w:rPr>
              <w:t xml:space="preserve">Baseline</w:t>
            </w:r>
          </w:p>
        </w:tc>
        <w:tc>
          <w:tcPr>
            <w:tcW w:type="dxa" w:w="37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r>
              <w:rPr>
                <w:rFonts w:ascii="Arial" w:cs="Arial" w:eastAsia="Arial" w:hAnsi="Arial"/>
                <w:b w:val="false"/>
                <w:bCs w:val="false"/>
                <w:color w:val="000000"/>
                <w:sz w:val="21"/>
                <w:szCs w:val="21"/>
              </w:rPr>
              <w:t xml:space="preserve">The existing arrangement</w:t>
            </w:r>
          </w:p>
        </w:tc>
        <w:tc>
          <w:tcPr>
            <w:tcW w:type="dxa" w:w="3226"/>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r>
              <w:rPr>
                <w:rFonts w:ascii="Arial" w:cs="Arial" w:eastAsia="Arial" w:hAnsi="Arial"/>
                <w:b w:val="false"/>
                <w:bCs w:val="false"/>
                <w:color w:val="000000"/>
                <w:sz w:val="21"/>
                <w:szCs w:val="21"/>
              </w:rPr>
              <w:t xml:space="preserve">Reference point for all improvements</w:t>
            </w:r>
          </w:p>
        </w:tc>
      </w:tr>
      <w:tr>
        <w:trPr>
          <w:tblHeader w:val="false"/>
        </w:trPr>
        <w:tc>
          <w:tcPr>
            <w:tcW w:type="dxa" w:w="2500"/>
            <w:tcBorders>
              <w:top w:val="single" w:color="BFBFBF" w:sz="4"/>
              <w:left w:val="single" w:color="BFBFBF" w:sz="4"/>
              <w:bottom w:val="single" w:color="BFBFBF" w:sz="4"/>
              <w:right w:val="single" w:color="BFBFBF" w:sz="4"/>
            </w:tcBorders>
            <w:shd w:fill="F5F8FC" w:val="clear"/>
            <w:tcMar>
              <w:top w:type="dxa" w:w="80"/>
              <w:left w:type="dxa" w:w="110"/>
              <w:bottom w:type="dxa" w:w="80"/>
              <w:right w:type="dxa" w:w="110"/>
            </w:tcMar>
          </w:tcPr>
          <w:p>
            <w:r>
              <w:rPr>
                <w:rFonts w:ascii="Arial" w:cs="Arial" w:eastAsia="Arial" w:hAnsi="Arial"/>
                <w:b/>
                <w:bCs/>
                <w:color w:val="000000"/>
                <w:sz w:val="21"/>
                <w:szCs w:val="21"/>
              </w:rPr>
              <w:t xml:space="preserve">A: ABC-Greedy</w:t>
            </w:r>
          </w:p>
        </w:tc>
        <w:tc>
          <w:tcPr>
            <w:tcW w:type="dxa" w:w="3700"/>
            <w:tcBorders>
              <w:top w:val="single" w:color="BFBFBF" w:sz="4"/>
              <w:left w:val="single" w:color="BFBFBF" w:sz="4"/>
              <w:bottom w:val="single" w:color="BFBFBF" w:sz="4"/>
              <w:right w:val="single" w:color="BFBFBF" w:sz="4"/>
            </w:tcBorders>
            <w:shd w:fill="F5F8FC" w:val="clear"/>
            <w:tcMar>
              <w:top w:type="dxa" w:w="80"/>
              <w:left w:type="dxa" w:w="110"/>
              <w:bottom w:type="dxa" w:w="80"/>
              <w:right w:type="dxa" w:w="110"/>
            </w:tcMar>
          </w:tcPr>
          <w:p>
            <w:r>
              <w:rPr>
                <w:rFonts w:ascii="Arial" w:cs="Arial" w:eastAsia="Arial" w:hAnsi="Arial"/>
                <w:b w:val="false"/>
                <w:bCs w:val="false"/>
                <w:color w:val="000000"/>
                <w:sz w:val="21"/>
                <w:szCs w:val="21"/>
              </w:rPr>
              <w:t xml:space="preserve">Classify products A/B/C by pick share; best slots go to A items</w:t>
            </w:r>
          </w:p>
        </w:tc>
        <w:tc>
          <w:tcPr>
            <w:tcW w:type="dxa" w:w="3226"/>
            <w:tcBorders>
              <w:top w:val="single" w:color="BFBFBF" w:sz="4"/>
              <w:left w:val="single" w:color="BFBFBF" w:sz="4"/>
              <w:bottom w:val="single" w:color="BFBFBF" w:sz="4"/>
              <w:right w:val="single" w:color="BFBFBF" w:sz="4"/>
            </w:tcBorders>
            <w:shd w:fill="F5F8FC" w:val="clear"/>
            <w:tcMar>
              <w:top w:type="dxa" w:w="80"/>
              <w:left w:type="dxa" w:w="110"/>
              <w:bottom w:type="dxa" w:w="80"/>
              <w:right w:type="dxa" w:w="110"/>
            </w:tcMar>
          </w:tcPr>
          <w:p>
            <w:r>
              <w:rPr>
                <w:rFonts w:ascii="Arial" w:cs="Arial" w:eastAsia="Arial" w:hAnsi="Arial"/>
                <w:b w:val="false"/>
                <w:bCs w:val="false"/>
                <w:color w:val="000000"/>
                <w:sz w:val="21"/>
                <w:szCs w:val="21"/>
              </w:rPr>
              <w:t xml:space="preserve">Simple and easy to explain</w:t>
            </w:r>
          </w:p>
        </w:tc>
      </w:tr>
      <w:tr>
        <w:trPr>
          <w:tblHeader w:val="false"/>
        </w:trPr>
        <w:tc>
          <w:tcPr>
            <w:tcW w:type="dxa" w:w="25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r>
              <w:rPr>
                <w:rFonts w:ascii="Arial" w:cs="Arial" w:eastAsia="Arial" w:hAnsi="Arial"/>
                <w:b/>
                <w:bCs/>
                <w:color w:val="000000"/>
                <w:sz w:val="21"/>
                <w:szCs w:val="21"/>
              </w:rPr>
              <w:t xml:space="preserve">B: Optimal assignment</w:t>
            </w:r>
          </w:p>
        </w:tc>
        <w:tc>
          <w:tcPr>
            <w:tcW w:type="dxa" w:w="37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r>
              <w:rPr>
                <w:rFonts w:ascii="Arial" w:cs="Arial" w:eastAsia="Arial" w:hAnsi="Arial"/>
                <w:b w:val="false"/>
                <w:bCs w:val="false"/>
                <w:color w:val="000000"/>
                <w:sz w:val="21"/>
                <w:szCs w:val="21"/>
              </w:rPr>
              <w:t xml:space="preserve">Hungarian algorithm on a demand x distance cost matrix; unfit pairs are blocked</w:t>
            </w:r>
          </w:p>
        </w:tc>
        <w:tc>
          <w:tcPr>
            <w:tcW w:type="dxa" w:w="3226"/>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r>
              <w:rPr>
                <w:rFonts w:ascii="Arial" w:cs="Arial" w:eastAsia="Arial" w:hAnsi="Arial"/>
                <w:b w:val="false"/>
                <w:bCs w:val="false"/>
                <w:color w:val="000000"/>
                <w:sz w:val="21"/>
                <w:szCs w:val="21"/>
              </w:rPr>
              <w:t xml:space="preserve">Lowest total cost, guaranteed</w:t>
            </w:r>
          </w:p>
        </w:tc>
      </w:tr>
      <w:tr>
        <w:trPr>
          <w:tblHeader w:val="false"/>
        </w:trPr>
        <w:tc>
          <w:tcPr>
            <w:tcW w:type="dxa" w:w="2500"/>
            <w:tcBorders>
              <w:top w:val="single" w:color="BFBFBF" w:sz="4"/>
              <w:left w:val="single" w:color="BFBFBF" w:sz="4"/>
              <w:bottom w:val="single" w:color="BFBFBF" w:sz="4"/>
              <w:right w:val="single" w:color="BFBFBF" w:sz="4"/>
            </w:tcBorders>
            <w:shd w:fill="F5F8FC" w:val="clear"/>
            <w:tcMar>
              <w:top w:type="dxa" w:w="80"/>
              <w:left w:type="dxa" w:w="110"/>
              <w:bottom w:type="dxa" w:w="80"/>
              <w:right w:type="dxa" w:w="110"/>
            </w:tcMar>
          </w:tcPr>
          <w:p>
            <w:r>
              <w:rPr>
                <w:rFonts w:ascii="Arial" w:cs="Arial" w:eastAsia="Arial" w:hAnsi="Arial"/>
                <w:b/>
                <w:bCs/>
                <w:color w:val="000000"/>
                <w:sz w:val="21"/>
                <w:szCs w:val="21"/>
              </w:rPr>
              <w:t xml:space="preserve">C: Forecast + Affinity</w:t>
            </w:r>
          </w:p>
        </w:tc>
        <w:tc>
          <w:tcPr>
            <w:tcW w:type="dxa" w:w="3700"/>
            <w:tcBorders>
              <w:top w:val="single" w:color="BFBFBF" w:sz="4"/>
              <w:left w:val="single" w:color="BFBFBF" w:sz="4"/>
              <w:bottom w:val="single" w:color="BFBFBF" w:sz="4"/>
              <w:right w:val="single" w:color="BFBFBF" w:sz="4"/>
            </w:tcBorders>
            <w:shd w:fill="F5F8FC" w:val="clear"/>
            <w:tcMar>
              <w:top w:type="dxa" w:w="80"/>
              <w:left w:type="dxa" w:w="110"/>
              <w:bottom w:type="dxa" w:w="80"/>
              <w:right w:type="dxa" w:w="110"/>
            </w:tcMar>
          </w:tcPr>
          <w:p>
            <w:r>
              <w:rPr>
                <w:rFonts w:ascii="Arial" w:cs="Arial" w:eastAsia="Arial" w:hAnsi="Arial"/>
                <w:b w:val="false"/>
                <w:bCs w:val="false"/>
                <w:color w:val="000000"/>
                <w:sz w:val="21"/>
                <w:szCs w:val="21"/>
              </w:rPr>
              <w:t xml:space="preserve">Slot for predicted demand, and place items bought together close to each other</w:t>
            </w:r>
          </w:p>
        </w:tc>
        <w:tc>
          <w:tcPr>
            <w:tcW w:type="dxa" w:w="3226"/>
            <w:tcBorders>
              <w:top w:val="single" w:color="BFBFBF" w:sz="4"/>
              <w:left w:val="single" w:color="BFBFBF" w:sz="4"/>
              <w:bottom w:val="single" w:color="BFBFBF" w:sz="4"/>
              <w:right w:val="single" w:color="BFBFBF" w:sz="4"/>
            </w:tcBorders>
            <w:shd w:fill="F5F8FC" w:val="clear"/>
            <w:tcMar>
              <w:top w:type="dxa" w:w="80"/>
              <w:left w:type="dxa" w:w="110"/>
              <w:bottom w:type="dxa" w:w="80"/>
              <w:right w:type="dxa" w:w="110"/>
            </w:tcMar>
          </w:tcPr>
          <w:p>
            <w:r>
              <w:rPr>
                <w:rFonts w:ascii="Arial" w:cs="Arial" w:eastAsia="Arial" w:hAnsi="Arial"/>
                <w:b w:val="false"/>
                <w:bCs w:val="false"/>
                <w:color w:val="000000"/>
                <w:sz w:val="21"/>
                <w:szCs w:val="21"/>
              </w:rPr>
              <w:t xml:space="preserve">Adapts to changing demand and shortens pick trips</w:t>
            </w:r>
          </w:p>
        </w:tc>
      </w:tr>
    </w:tbl>
    <w:p>
      <w:pPr>
        <w:pStyle w:val="Heading1"/>
        <w:spacing w:after="140" w:before="320"/>
      </w:pPr>
      <w:r>
        <w:rPr>
          <w:rFonts w:ascii="Arial" w:cs="Arial" w:eastAsia="Arial" w:hAnsi="Arial"/>
          <w:b/>
          <w:bCs/>
          <w:color w:val="1F3864"/>
          <w:sz w:val="32"/>
          <w:szCs w:val="32"/>
        </w:rPr>
        <w:t xml:space="preserve">4. Key concepts in simple words</w:t>
      </w:r>
    </w:p>
    <w:p>
      <w:pPr>
        <w:pStyle w:val="ListParagraph"/>
        <w:numPr>
          <w:ilvl w:val="0"/>
          <w:numId w:val="3"/>
        </w:numPr>
        <w:spacing w:after="70"/>
      </w:pPr>
      <w:r>
        <w:rPr>
          <w:rFonts w:ascii="Arial" w:cs="Arial" w:eastAsia="Arial" w:hAnsi="Arial"/>
          <w:b/>
          <w:bCs/>
          <w:sz w:val="23"/>
          <w:szCs w:val="23"/>
        </w:rPr>
        <w:t xml:space="preserve">Pareto / ABC analysis.</w:t>
      </w:r>
      <w:r>
        <w:rPr>
          <w:rFonts w:ascii="Arial" w:cs="Arial" w:eastAsia="Arial" w:hAnsi="Arial"/>
          <w:sz w:val="23"/>
          <w:szCs w:val="23"/>
        </w:rPr>
        <w:t xml:space="preserve"> About 20% of products cause about 80% of picks. Those go nearest the door.</w:t>
      </w:r>
    </w:p>
    <w:p>
      <w:pPr>
        <w:pStyle w:val="ListParagraph"/>
        <w:numPr>
          <w:ilvl w:val="0"/>
          <w:numId w:val="3"/>
        </w:numPr>
        <w:spacing w:after="70"/>
      </w:pPr>
      <w:r>
        <w:rPr>
          <w:rFonts w:ascii="Arial" w:cs="Arial" w:eastAsia="Arial" w:hAnsi="Arial"/>
          <w:b/>
          <w:bCs/>
          <w:sz w:val="23"/>
          <w:szCs w:val="23"/>
        </w:rPr>
        <w:t xml:space="preserve">Cost matrix.</w:t>
      </w:r>
      <w:r>
        <w:rPr>
          <w:rFonts w:ascii="Arial" w:cs="Arial" w:eastAsia="Arial" w:hAnsi="Arial"/>
          <w:sz w:val="23"/>
          <w:szCs w:val="23"/>
        </w:rPr>
        <w:t xml:space="preserve"> A table of the cost of putting each product in each location. Cost = demand x distance. Pairs that do not fit get a huge cost so they are never chosen.</w:t>
      </w:r>
    </w:p>
    <w:p>
      <w:pPr>
        <w:pStyle w:val="ListParagraph"/>
        <w:numPr>
          <w:ilvl w:val="0"/>
          <w:numId w:val="3"/>
        </w:numPr>
        <w:spacing w:after="70"/>
      </w:pPr>
      <w:r>
        <w:rPr>
          <w:rFonts w:ascii="Arial" w:cs="Arial" w:eastAsia="Arial" w:hAnsi="Arial"/>
          <w:b/>
          <w:bCs/>
          <w:sz w:val="23"/>
          <w:szCs w:val="23"/>
        </w:rPr>
        <w:t xml:space="preserve">Hungarian algorithm.</w:t>
      </w:r>
      <w:r>
        <w:rPr>
          <w:rFonts w:ascii="Arial" w:cs="Arial" w:eastAsia="Arial" w:hAnsi="Arial"/>
          <w:sz w:val="23"/>
          <w:szCs w:val="23"/>
        </w:rPr>
        <w:t xml:space="preserve"> Finds the combination of assignments with the lowest total cost.</w:t>
      </w:r>
    </w:p>
    <w:p>
      <w:pPr>
        <w:pStyle w:val="ListParagraph"/>
        <w:numPr>
          <w:ilvl w:val="0"/>
          <w:numId w:val="3"/>
        </w:numPr>
        <w:spacing w:after="70"/>
      </w:pPr>
      <w:r>
        <w:rPr>
          <w:rFonts w:ascii="Arial" w:cs="Arial" w:eastAsia="Arial" w:hAnsi="Arial"/>
          <w:b/>
          <w:bCs/>
          <w:sz w:val="23"/>
          <w:szCs w:val="23"/>
        </w:rPr>
        <w:t xml:space="preserve">Exponential smoothing forecast.</w:t>
      </w:r>
      <w:r>
        <w:rPr>
          <w:rFonts w:ascii="Arial" w:cs="Arial" w:eastAsia="Arial" w:hAnsi="Arial"/>
          <w:sz w:val="23"/>
          <w:szCs w:val="23"/>
        </w:rPr>
        <w:t xml:space="preserve"> Recent weeks count more than old weeks, so layout follows next week's likely demand.</w:t>
      </w:r>
    </w:p>
    <w:p>
      <w:pPr>
        <w:pStyle w:val="ListParagraph"/>
        <w:numPr>
          <w:ilvl w:val="0"/>
          <w:numId w:val="3"/>
        </w:numPr>
        <w:spacing w:after="70"/>
      </w:pPr>
      <w:r>
        <w:rPr>
          <w:rFonts w:ascii="Arial" w:cs="Arial" w:eastAsia="Arial" w:hAnsi="Arial"/>
          <w:b/>
          <w:bCs/>
          <w:sz w:val="23"/>
          <w:szCs w:val="23"/>
        </w:rPr>
        <w:t xml:space="preserve">Affinity (lift).</w:t>
      </w:r>
      <w:r>
        <w:rPr>
          <w:rFonts w:ascii="Arial" w:cs="Arial" w:eastAsia="Arial" w:hAnsi="Arial"/>
          <w:sz w:val="23"/>
          <w:szCs w:val="23"/>
        </w:rPr>
        <w:t xml:space="preserve"> Products often ordered together are stored close so one trip picks both.</w:t>
      </w:r>
    </w:p>
    <w:p>
      <w:pPr>
        <w:pStyle w:val="ListParagraph"/>
        <w:numPr>
          <w:ilvl w:val="0"/>
          <w:numId w:val="3"/>
        </w:numPr>
        <w:spacing w:after="70"/>
      </w:pPr>
      <w:r>
        <w:rPr>
          <w:rFonts w:ascii="Arial" w:cs="Arial" w:eastAsia="Arial" w:hAnsi="Arial"/>
          <w:b/>
          <w:bCs/>
          <w:sz w:val="23"/>
          <w:szCs w:val="23"/>
        </w:rPr>
        <w:t xml:space="preserve">Re-slotting payback.</w:t>
      </w:r>
      <w:r>
        <w:rPr>
          <w:rFonts w:ascii="Arial" w:cs="Arial" w:eastAsia="Arial" w:hAnsi="Arial"/>
          <w:sz w:val="23"/>
          <w:szCs w:val="23"/>
        </w:rPr>
        <w:t xml:space="preserve"> Moving products costs labour. Payback = move cost / daily savings.</w:t>
      </w:r>
    </w:p>
    <w:p>
      <w:pPr>
        <w:pStyle w:val="Heading1"/>
        <w:spacing w:after="140" w:before="320"/>
      </w:pPr>
      <w:r>
        <w:rPr>
          <w:rFonts w:ascii="Arial" w:cs="Arial" w:eastAsia="Arial" w:hAnsi="Arial"/>
          <w:b/>
          <w:bCs/>
          <w:color w:val="1F3864"/>
          <w:sz w:val="32"/>
          <w:szCs w:val="32"/>
        </w:rPr>
        <w:t xml:space="preserve">5. Evaluation metrics</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3000"/>
        <w:gridCol w:w="6426"/>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r>
              <w:rPr>
                <w:rFonts w:ascii="Arial" w:cs="Arial" w:eastAsia="Arial" w:hAnsi="Arial"/>
                <w:b/>
                <w:bCs/>
                <w:color w:val="FFFFFF"/>
                <w:sz w:val="21"/>
                <w:szCs w:val="21"/>
              </w:rPr>
              <w:t xml:space="preserve">Metric</w:t>
            </w:r>
          </w:p>
        </w:tc>
        <w:tc>
          <w:tcPr>
            <w:tcW w:type="dxa" w:w="6426"/>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r>
              <w:rPr>
                <w:rFonts w:ascii="Arial" w:cs="Arial" w:eastAsia="Arial" w:hAnsi="Arial"/>
                <w:b/>
                <w:bCs/>
                <w:color w:val="FFFFFF"/>
                <w:sz w:val="21"/>
                <w:szCs w:val="21"/>
              </w:rPr>
              <w:t xml:space="preserve">How it is calculated</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r>
              <w:rPr>
                <w:rFonts w:ascii="Arial" w:cs="Arial" w:eastAsia="Arial" w:hAnsi="Arial"/>
                <w:b/>
                <w:bCs/>
                <w:color w:val="000000"/>
                <w:sz w:val="21"/>
                <w:szCs w:val="21"/>
              </w:rPr>
              <w:t xml:space="preserve">Picking distance</w:t>
            </w:r>
          </w:p>
        </w:tc>
        <w:tc>
          <w:tcPr>
            <w:tcW w:type="dxa" w:w="6426"/>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r>
              <w:rPr>
                <w:rFonts w:ascii="Arial" w:cs="Arial" w:eastAsia="Arial" w:hAnsi="Arial"/>
                <w:b w:val="false"/>
                <w:bCs w:val="false"/>
                <w:color w:val="000000"/>
                <w:sz w:val="21"/>
                <w:szCs w:val="21"/>
              </w:rPr>
              <w:t xml:space="preserve">Sum of (pick frequency x distance to door)</w:t>
            </w:r>
          </w:p>
        </w:tc>
      </w:tr>
      <w:tr>
        <w:trPr>
          <w:tblHeader w:val="false"/>
        </w:trPr>
        <w:tc>
          <w:tcPr>
            <w:tcW w:type="dxa" w:w="3000"/>
            <w:tcBorders>
              <w:top w:val="single" w:color="BFBFBF" w:sz="4"/>
              <w:left w:val="single" w:color="BFBFBF" w:sz="4"/>
              <w:bottom w:val="single" w:color="BFBFBF" w:sz="4"/>
              <w:right w:val="single" w:color="BFBFBF" w:sz="4"/>
            </w:tcBorders>
            <w:shd w:fill="F5F8FC" w:val="clear"/>
            <w:tcMar>
              <w:top w:type="dxa" w:w="80"/>
              <w:left w:type="dxa" w:w="110"/>
              <w:bottom w:type="dxa" w:w="80"/>
              <w:right w:type="dxa" w:w="110"/>
            </w:tcMar>
          </w:tcPr>
          <w:p>
            <w:r>
              <w:rPr>
                <w:rFonts w:ascii="Arial" w:cs="Arial" w:eastAsia="Arial" w:hAnsi="Arial"/>
                <w:b/>
                <w:bCs/>
                <w:color w:val="000000"/>
                <w:sz w:val="21"/>
                <w:szCs w:val="21"/>
              </w:rPr>
              <w:t xml:space="preserve">Space utilization</w:t>
            </w:r>
          </w:p>
        </w:tc>
        <w:tc>
          <w:tcPr>
            <w:tcW w:type="dxa" w:w="6426"/>
            <w:tcBorders>
              <w:top w:val="single" w:color="BFBFBF" w:sz="4"/>
              <w:left w:val="single" w:color="BFBFBF" w:sz="4"/>
              <w:bottom w:val="single" w:color="BFBFBF" w:sz="4"/>
              <w:right w:val="single" w:color="BFBFBF" w:sz="4"/>
            </w:tcBorders>
            <w:shd w:fill="F5F8FC" w:val="clear"/>
            <w:tcMar>
              <w:top w:type="dxa" w:w="80"/>
              <w:left w:type="dxa" w:w="110"/>
              <w:bottom w:type="dxa" w:w="80"/>
              <w:right w:type="dxa" w:w="110"/>
            </w:tcMar>
          </w:tcPr>
          <w:p>
            <w:r>
              <w:rPr>
                <w:rFonts w:ascii="Arial" w:cs="Arial" w:eastAsia="Arial" w:hAnsi="Arial"/>
                <w:b w:val="false"/>
                <w:bCs w:val="false"/>
                <w:color w:val="000000"/>
                <w:sz w:val="21"/>
                <w:szCs w:val="21"/>
              </w:rPr>
              <w:t xml:space="preserve">Used volume / usable volume</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r>
              <w:rPr>
                <w:rFonts w:ascii="Arial" w:cs="Arial" w:eastAsia="Arial" w:hAnsi="Arial"/>
                <w:b/>
                <w:bCs/>
                <w:color w:val="000000"/>
                <w:sz w:val="21"/>
                <w:szCs w:val="21"/>
              </w:rPr>
              <w:t xml:space="preserve">Constraint feasibility</w:t>
            </w:r>
          </w:p>
        </w:tc>
        <w:tc>
          <w:tcPr>
            <w:tcW w:type="dxa" w:w="6426"/>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r>
              <w:rPr>
                <w:rFonts w:ascii="Arial" w:cs="Arial" w:eastAsia="Arial" w:hAnsi="Arial"/>
                <w:b w:val="false"/>
                <w:bCs w:val="false"/>
                <w:color w:val="000000"/>
                <w:sz w:val="21"/>
                <w:szCs w:val="21"/>
              </w:rPr>
              <w:t xml:space="preserve">% of assignments passing size, capacity and handling rules</w:t>
            </w:r>
          </w:p>
        </w:tc>
      </w:tr>
      <w:tr>
        <w:trPr>
          <w:tblHeader w:val="false"/>
        </w:trPr>
        <w:tc>
          <w:tcPr>
            <w:tcW w:type="dxa" w:w="3000"/>
            <w:tcBorders>
              <w:top w:val="single" w:color="BFBFBF" w:sz="4"/>
              <w:left w:val="single" w:color="BFBFBF" w:sz="4"/>
              <w:bottom w:val="single" w:color="BFBFBF" w:sz="4"/>
              <w:right w:val="single" w:color="BFBFBF" w:sz="4"/>
            </w:tcBorders>
            <w:shd w:fill="F5F8FC" w:val="clear"/>
            <w:tcMar>
              <w:top w:type="dxa" w:w="80"/>
              <w:left w:type="dxa" w:w="110"/>
              <w:bottom w:type="dxa" w:w="80"/>
              <w:right w:type="dxa" w:w="110"/>
            </w:tcMar>
          </w:tcPr>
          <w:p>
            <w:r>
              <w:rPr>
                <w:rFonts w:ascii="Arial" w:cs="Arial" w:eastAsia="Arial" w:hAnsi="Arial"/>
                <w:b/>
                <w:bCs/>
                <w:color w:val="000000"/>
                <w:sz w:val="21"/>
                <w:szCs w:val="21"/>
              </w:rPr>
              <w:t xml:space="preserve">Material movement</w:t>
            </w:r>
          </w:p>
        </w:tc>
        <w:tc>
          <w:tcPr>
            <w:tcW w:type="dxa" w:w="6426"/>
            <w:tcBorders>
              <w:top w:val="single" w:color="BFBFBF" w:sz="4"/>
              <w:left w:val="single" w:color="BFBFBF" w:sz="4"/>
              <w:bottom w:val="single" w:color="BFBFBF" w:sz="4"/>
              <w:right w:val="single" w:color="BFBFBF" w:sz="4"/>
            </w:tcBorders>
            <w:shd w:fill="F5F8FC" w:val="clear"/>
            <w:tcMar>
              <w:top w:type="dxa" w:w="80"/>
              <w:left w:type="dxa" w:w="110"/>
              <w:bottom w:type="dxa" w:w="80"/>
              <w:right w:type="dxa" w:w="110"/>
            </w:tcMar>
          </w:tcPr>
          <w:p>
            <w:r>
              <w:rPr>
                <w:rFonts w:ascii="Arial" w:cs="Arial" w:eastAsia="Arial" w:hAnsi="Arial"/>
                <w:b w:val="false"/>
                <w:bCs w:val="false"/>
                <w:color w:val="000000"/>
                <w:sz w:val="21"/>
                <w:szCs w:val="21"/>
              </w:rPr>
              <w:t xml:space="preserve">Number of moves needed to reach the new layout</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r>
              <w:rPr>
                <w:rFonts w:ascii="Arial" w:cs="Arial" w:eastAsia="Arial" w:hAnsi="Arial"/>
                <w:b/>
                <w:bCs/>
                <w:color w:val="000000"/>
                <w:sz w:val="21"/>
                <w:szCs w:val="21"/>
              </w:rPr>
              <w:t xml:space="preserve">Handling cost</w:t>
            </w:r>
          </w:p>
        </w:tc>
        <w:tc>
          <w:tcPr>
            <w:tcW w:type="dxa" w:w="6426"/>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r>
              <w:rPr>
                <w:rFonts w:ascii="Arial" w:cs="Arial" w:eastAsia="Arial" w:hAnsi="Arial"/>
                <w:b w:val="false"/>
                <w:bCs w:val="false"/>
                <w:color w:val="000000"/>
                <w:sz w:val="21"/>
                <w:szCs w:val="21"/>
              </w:rPr>
              <w:t xml:space="preserve">Distance x cost per meter (assumption documented)</w:t>
            </w:r>
          </w:p>
        </w:tc>
      </w:tr>
    </w:tbl>
    <w:p>
      <w:pPr>
        <w:pStyle w:val="Heading1"/>
        <w:spacing w:after="140" w:before="320"/>
      </w:pPr>
      <w:r>
        <w:rPr>
          <w:rFonts w:ascii="Arial" w:cs="Arial" w:eastAsia="Arial" w:hAnsi="Arial"/>
          <w:b/>
          <w:bCs/>
          <w:color w:val="1F3864"/>
          <w:sz w:val="32"/>
          <w:szCs w:val="32"/>
        </w:rPr>
        <w:t xml:space="preserve">6. Results</w:t>
      </w:r>
    </w:p>
    <w:p>
      <w:pPr>
        <w:spacing w:after="110"/>
      </w:pPr>
      <w:r>
        <w:rPr>
          <w:rFonts w:ascii="Arial" w:cs="Arial" w:eastAsia="Arial" w:hAnsi="Arial"/>
          <w:i/>
          <w:iCs/>
          <w:color w:val="C00000"/>
          <w:sz w:val="23"/>
          <w:szCs w:val="23"/>
        </w:rPr>
        <w:t xml:space="preserve">Fill the yellow cells from your own comparison table. Use only numbers your code actually computed.</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800"/>
        <w:gridCol w:w="1800"/>
        <w:gridCol w:w="1826"/>
      </w:tblGrid>
      <w:tr>
        <w:trPr>
          <w:tblHeader/>
        </w:trPr>
        <w:tc>
          <w:tcPr>
            <w:tcW w:type="dxa" w:w="23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r>
              <w:rPr>
                <w:rFonts w:ascii="Arial" w:cs="Arial" w:eastAsia="Arial" w:hAnsi="Arial"/>
                <w:b/>
                <w:bCs/>
                <w:color w:val="FFFFFF"/>
                <w:sz w:val="21"/>
                <w:szCs w:val="21"/>
              </w:rPr>
              <w:t xml:space="preserve">Metric</w:t>
            </w:r>
          </w:p>
        </w:tc>
        <w:tc>
          <w:tcPr>
            <w:tcW w:type="dxa" w:w="17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r>
              <w:rPr>
                <w:rFonts w:ascii="Arial" w:cs="Arial" w:eastAsia="Arial" w:hAnsi="Arial"/>
                <w:b/>
                <w:bCs/>
                <w:color w:val="FFFFFF"/>
                <w:sz w:val="21"/>
                <w:szCs w:val="21"/>
              </w:rPr>
              <w:t xml:space="preserve">Baseline</w:t>
            </w:r>
          </w:p>
        </w:tc>
        <w:tc>
          <w:tcPr>
            <w:tcW w:type="dxa" w:w="18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r>
              <w:rPr>
                <w:rFonts w:ascii="Arial" w:cs="Arial" w:eastAsia="Arial" w:hAnsi="Arial"/>
                <w:b/>
                <w:bCs/>
                <w:color w:val="FFFFFF"/>
                <w:sz w:val="21"/>
                <w:szCs w:val="21"/>
              </w:rPr>
              <w:t xml:space="preserve">A: ABC-Greedy</w:t>
            </w:r>
          </w:p>
        </w:tc>
        <w:tc>
          <w:tcPr>
            <w:tcW w:type="dxa" w:w="18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r>
              <w:rPr>
                <w:rFonts w:ascii="Arial" w:cs="Arial" w:eastAsia="Arial" w:hAnsi="Arial"/>
                <w:b/>
                <w:bCs/>
                <w:color w:val="FFFFFF"/>
                <w:sz w:val="21"/>
                <w:szCs w:val="21"/>
              </w:rPr>
              <w:t xml:space="preserve">B: Optimal</w:t>
            </w:r>
          </w:p>
        </w:tc>
        <w:tc>
          <w:tcPr>
            <w:tcW w:type="dxa" w:w="1826"/>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r>
              <w:rPr>
                <w:rFonts w:ascii="Arial" w:cs="Arial" w:eastAsia="Arial" w:hAnsi="Arial"/>
                <w:b/>
                <w:bCs/>
                <w:color w:val="FFFFFF"/>
                <w:sz w:val="21"/>
                <w:szCs w:val="21"/>
              </w:rPr>
              <w:t xml:space="preserve">C: Forecast+Affinity</w:t>
            </w:r>
          </w:p>
        </w:tc>
      </w:tr>
      <w:tr>
        <w:trPr>
          <w:tblHeader w:val="false"/>
        </w:trPr>
        <w:tc>
          <w:tcPr>
            <w:tcW w:type="dxa" w:w="23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r>
              <w:rPr>
                <w:rFonts w:ascii="Arial" w:cs="Arial" w:eastAsia="Arial" w:hAnsi="Arial"/>
                <w:b/>
                <w:bCs/>
                <w:color w:val="000000"/>
                <w:sz w:val="21"/>
                <w:szCs w:val="21"/>
              </w:rPr>
              <w:t xml:space="preserve">Picking distance</w:t>
            </w:r>
          </w:p>
        </w:tc>
        <w:tc>
          <w:tcPr>
            <w:tcW w:type="dxa" w:w="1700"/>
            <w:tcBorders>
              <w:top w:val="single" w:color="BFBFBF" w:sz="4"/>
              <w:left w:val="single" w:color="BFBFBF" w:sz="4"/>
              <w:bottom w:val="single" w:color="BFBFBF" w:sz="4"/>
              <w:right w:val="single" w:color="BFBFBF" w:sz="4"/>
            </w:tcBorders>
            <w:shd w:fill="FFF2CC" w:val="clear"/>
            <w:tcMar>
              <w:top w:type="dxa" w:w="80"/>
              <w:left w:type="dxa" w:w="110"/>
              <w:bottom w:type="dxa" w:w="80"/>
              <w:right w:type="dxa" w:w="110"/>
            </w:tcMar>
          </w:tcPr>
          <w:p>
            <w:r>
              <w:rPr>
                <w:rFonts w:ascii="Arial" w:cs="Arial" w:eastAsia="Arial" w:hAnsi="Arial"/>
                <w:b w:val="false"/>
                <w:bCs w:val="false"/>
                <w:color w:val="000000"/>
                <w:sz w:val="21"/>
                <w:szCs w:val="21"/>
              </w:rPr>
              <w:t xml:space="preserve">[fill]</w:t>
            </w:r>
          </w:p>
        </w:tc>
        <w:tc>
          <w:tcPr>
            <w:tcW w:type="dxa" w:w="1800"/>
            <w:tcBorders>
              <w:top w:val="single" w:color="BFBFBF" w:sz="4"/>
              <w:left w:val="single" w:color="BFBFBF" w:sz="4"/>
              <w:bottom w:val="single" w:color="BFBFBF" w:sz="4"/>
              <w:right w:val="single" w:color="BFBFBF" w:sz="4"/>
            </w:tcBorders>
            <w:shd w:fill="FFF2CC" w:val="clear"/>
            <w:tcMar>
              <w:top w:type="dxa" w:w="80"/>
              <w:left w:type="dxa" w:w="110"/>
              <w:bottom w:type="dxa" w:w="80"/>
              <w:right w:type="dxa" w:w="110"/>
            </w:tcMar>
          </w:tcPr>
          <w:p>
            <w:r>
              <w:rPr>
                <w:rFonts w:ascii="Arial" w:cs="Arial" w:eastAsia="Arial" w:hAnsi="Arial"/>
                <w:b w:val="false"/>
                <w:bCs w:val="false"/>
                <w:color w:val="000000"/>
                <w:sz w:val="21"/>
                <w:szCs w:val="21"/>
              </w:rPr>
              <w:t xml:space="preserve">[fill]</w:t>
            </w:r>
          </w:p>
        </w:tc>
        <w:tc>
          <w:tcPr>
            <w:tcW w:type="dxa" w:w="1800"/>
            <w:tcBorders>
              <w:top w:val="single" w:color="BFBFBF" w:sz="4"/>
              <w:left w:val="single" w:color="BFBFBF" w:sz="4"/>
              <w:bottom w:val="single" w:color="BFBFBF" w:sz="4"/>
              <w:right w:val="single" w:color="BFBFBF" w:sz="4"/>
            </w:tcBorders>
            <w:shd w:fill="FFF2CC" w:val="clear"/>
            <w:tcMar>
              <w:top w:type="dxa" w:w="80"/>
              <w:left w:type="dxa" w:w="110"/>
              <w:bottom w:type="dxa" w:w="80"/>
              <w:right w:type="dxa" w:w="110"/>
            </w:tcMar>
          </w:tcPr>
          <w:p>
            <w:r>
              <w:rPr>
                <w:rFonts w:ascii="Arial" w:cs="Arial" w:eastAsia="Arial" w:hAnsi="Arial"/>
                <w:b w:val="false"/>
                <w:bCs w:val="false"/>
                <w:color w:val="000000"/>
                <w:sz w:val="21"/>
                <w:szCs w:val="21"/>
              </w:rPr>
              <w:t xml:space="preserve">[fill]</w:t>
            </w:r>
          </w:p>
        </w:tc>
        <w:tc>
          <w:tcPr>
            <w:tcW w:type="dxa" w:w="1826"/>
            <w:tcBorders>
              <w:top w:val="single" w:color="BFBFBF" w:sz="4"/>
              <w:left w:val="single" w:color="BFBFBF" w:sz="4"/>
              <w:bottom w:val="single" w:color="BFBFBF" w:sz="4"/>
              <w:right w:val="single" w:color="BFBFBF" w:sz="4"/>
            </w:tcBorders>
            <w:shd w:fill="FFF2CC" w:val="clear"/>
            <w:tcMar>
              <w:top w:type="dxa" w:w="80"/>
              <w:left w:type="dxa" w:w="110"/>
              <w:bottom w:type="dxa" w:w="80"/>
              <w:right w:type="dxa" w:w="110"/>
            </w:tcMar>
          </w:tcPr>
          <w:p>
            <w:r>
              <w:rPr>
                <w:rFonts w:ascii="Arial" w:cs="Arial" w:eastAsia="Arial" w:hAnsi="Arial"/>
                <w:b w:val="false"/>
                <w:bCs w:val="false"/>
                <w:color w:val="000000"/>
                <w:sz w:val="21"/>
                <w:szCs w:val="21"/>
              </w:rPr>
              <w:t xml:space="preserve">[fill]</w:t>
            </w:r>
          </w:p>
        </w:tc>
      </w:tr>
      <w:tr>
        <w:trPr>
          <w:tblHeader w:val="false"/>
        </w:trPr>
        <w:tc>
          <w:tcPr>
            <w:tcW w:type="dxa" w:w="2300"/>
            <w:tcBorders>
              <w:top w:val="single" w:color="BFBFBF" w:sz="4"/>
              <w:left w:val="single" w:color="BFBFBF" w:sz="4"/>
              <w:bottom w:val="single" w:color="BFBFBF" w:sz="4"/>
              <w:right w:val="single" w:color="BFBFBF" w:sz="4"/>
            </w:tcBorders>
            <w:shd w:fill="F5F8FC" w:val="clear"/>
            <w:tcMar>
              <w:top w:type="dxa" w:w="80"/>
              <w:left w:type="dxa" w:w="110"/>
              <w:bottom w:type="dxa" w:w="80"/>
              <w:right w:type="dxa" w:w="110"/>
            </w:tcMar>
          </w:tcPr>
          <w:p>
            <w:r>
              <w:rPr>
                <w:rFonts w:ascii="Arial" w:cs="Arial" w:eastAsia="Arial" w:hAnsi="Arial"/>
                <w:b/>
                <w:bCs/>
                <w:color w:val="000000"/>
                <w:sz w:val="21"/>
                <w:szCs w:val="21"/>
              </w:rPr>
              <w:t xml:space="preserve">Reduction vs baseline</w:t>
            </w:r>
          </w:p>
        </w:tc>
        <w:tc>
          <w:tcPr>
            <w:tcW w:type="dxa" w:w="1700"/>
            <w:tcBorders>
              <w:top w:val="single" w:color="BFBFBF" w:sz="4"/>
              <w:left w:val="single" w:color="BFBFBF" w:sz="4"/>
              <w:bottom w:val="single" w:color="BFBFBF" w:sz="4"/>
              <w:right w:val="single" w:color="BFBFBF" w:sz="4"/>
            </w:tcBorders>
            <w:shd w:fill="F5F8FC" w:val="clear"/>
            <w:tcMar>
              <w:top w:type="dxa" w:w="80"/>
              <w:left w:type="dxa" w:w="110"/>
              <w:bottom w:type="dxa" w:w="80"/>
              <w:right w:type="dxa" w:w="110"/>
            </w:tcMar>
          </w:tcPr>
          <w:p>
            <w:r>
              <w:rPr>
                <w:rFonts w:ascii="Arial" w:cs="Arial" w:eastAsia="Arial" w:hAnsi="Arial"/>
                <w:b w:val="false"/>
                <w:bCs w:val="false"/>
                <w:color w:val="000000"/>
                <w:sz w:val="21"/>
                <w:szCs w:val="21"/>
              </w:rPr>
              <w:t xml:space="preserve">-</w:t>
            </w:r>
          </w:p>
        </w:tc>
        <w:tc>
          <w:tcPr>
            <w:tcW w:type="dxa" w:w="1800"/>
            <w:tcBorders>
              <w:top w:val="single" w:color="BFBFBF" w:sz="4"/>
              <w:left w:val="single" w:color="BFBFBF" w:sz="4"/>
              <w:bottom w:val="single" w:color="BFBFBF" w:sz="4"/>
              <w:right w:val="single" w:color="BFBFBF" w:sz="4"/>
            </w:tcBorders>
            <w:shd w:fill="FFF2CC" w:val="clear"/>
            <w:tcMar>
              <w:top w:type="dxa" w:w="80"/>
              <w:left w:type="dxa" w:w="110"/>
              <w:bottom w:type="dxa" w:w="80"/>
              <w:right w:type="dxa" w:w="110"/>
            </w:tcMar>
          </w:tcPr>
          <w:p>
            <w:r>
              <w:rPr>
                <w:rFonts w:ascii="Arial" w:cs="Arial" w:eastAsia="Arial" w:hAnsi="Arial"/>
                <w:b w:val="false"/>
                <w:bCs w:val="false"/>
                <w:color w:val="000000"/>
                <w:sz w:val="21"/>
                <w:szCs w:val="21"/>
              </w:rPr>
              <w:t xml:space="preserve">[fill %]</w:t>
            </w:r>
          </w:p>
        </w:tc>
        <w:tc>
          <w:tcPr>
            <w:tcW w:type="dxa" w:w="1800"/>
            <w:tcBorders>
              <w:top w:val="single" w:color="BFBFBF" w:sz="4"/>
              <w:left w:val="single" w:color="BFBFBF" w:sz="4"/>
              <w:bottom w:val="single" w:color="BFBFBF" w:sz="4"/>
              <w:right w:val="single" w:color="BFBFBF" w:sz="4"/>
            </w:tcBorders>
            <w:shd w:fill="FFF2CC" w:val="clear"/>
            <w:tcMar>
              <w:top w:type="dxa" w:w="80"/>
              <w:left w:type="dxa" w:w="110"/>
              <w:bottom w:type="dxa" w:w="80"/>
              <w:right w:type="dxa" w:w="110"/>
            </w:tcMar>
          </w:tcPr>
          <w:p>
            <w:r>
              <w:rPr>
                <w:rFonts w:ascii="Arial" w:cs="Arial" w:eastAsia="Arial" w:hAnsi="Arial"/>
                <w:b w:val="false"/>
                <w:bCs w:val="false"/>
                <w:color w:val="000000"/>
                <w:sz w:val="21"/>
                <w:szCs w:val="21"/>
              </w:rPr>
              <w:t xml:space="preserve">[fill %]</w:t>
            </w:r>
          </w:p>
        </w:tc>
        <w:tc>
          <w:tcPr>
            <w:tcW w:type="dxa" w:w="1826"/>
            <w:tcBorders>
              <w:top w:val="single" w:color="BFBFBF" w:sz="4"/>
              <w:left w:val="single" w:color="BFBFBF" w:sz="4"/>
              <w:bottom w:val="single" w:color="BFBFBF" w:sz="4"/>
              <w:right w:val="single" w:color="BFBFBF" w:sz="4"/>
            </w:tcBorders>
            <w:shd w:fill="FFF2CC" w:val="clear"/>
            <w:tcMar>
              <w:top w:type="dxa" w:w="80"/>
              <w:left w:type="dxa" w:w="110"/>
              <w:bottom w:type="dxa" w:w="80"/>
              <w:right w:type="dxa" w:w="110"/>
            </w:tcMar>
          </w:tcPr>
          <w:p>
            <w:r>
              <w:rPr>
                <w:rFonts w:ascii="Arial" w:cs="Arial" w:eastAsia="Arial" w:hAnsi="Arial"/>
                <w:b w:val="false"/>
                <w:bCs w:val="false"/>
                <w:color w:val="000000"/>
                <w:sz w:val="21"/>
                <w:szCs w:val="21"/>
              </w:rPr>
              <w:t xml:space="preserve">[fill %]</w:t>
            </w:r>
          </w:p>
        </w:tc>
      </w:tr>
      <w:tr>
        <w:trPr>
          <w:tblHeader w:val="false"/>
        </w:trPr>
        <w:tc>
          <w:tcPr>
            <w:tcW w:type="dxa" w:w="23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r>
              <w:rPr>
                <w:rFonts w:ascii="Arial" w:cs="Arial" w:eastAsia="Arial" w:hAnsi="Arial"/>
                <w:b/>
                <w:bCs/>
                <w:color w:val="000000"/>
                <w:sz w:val="21"/>
                <w:szCs w:val="21"/>
              </w:rPr>
              <w:t xml:space="preserve">Space utilization</w:t>
            </w:r>
          </w:p>
        </w:tc>
        <w:tc>
          <w:tcPr>
            <w:tcW w:type="dxa" w:w="1700"/>
            <w:tcBorders>
              <w:top w:val="single" w:color="BFBFBF" w:sz="4"/>
              <w:left w:val="single" w:color="BFBFBF" w:sz="4"/>
              <w:bottom w:val="single" w:color="BFBFBF" w:sz="4"/>
              <w:right w:val="single" w:color="BFBFBF" w:sz="4"/>
            </w:tcBorders>
            <w:shd w:fill="FFF2CC" w:val="clear"/>
            <w:tcMar>
              <w:top w:type="dxa" w:w="80"/>
              <w:left w:type="dxa" w:w="110"/>
              <w:bottom w:type="dxa" w:w="80"/>
              <w:right w:type="dxa" w:w="110"/>
            </w:tcMar>
          </w:tcPr>
          <w:p>
            <w:r>
              <w:rPr>
                <w:rFonts w:ascii="Arial" w:cs="Arial" w:eastAsia="Arial" w:hAnsi="Arial"/>
                <w:b w:val="false"/>
                <w:bCs w:val="false"/>
                <w:color w:val="000000"/>
                <w:sz w:val="21"/>
                <w:szCs w:val="21"/>
              </w:rPr>
              <w:t xml:space="preserve">[fill]</w:t>
            </w:r>
          </w:p>
        </w:tc>
        <w:tc>
          <w:tcPr>
            <w:tcW w:type="dxa" w:w="1800"/>
            <w:tcBorders>
              <w:top w:val="single" w:color="BFBFBF" w:sz="4"/>
              <w:left w:val="single" w:color="BFBFBF" w:sz="4"/>
              <w:bottom w:val="single" w:color="BFBFBF" w:sz="4"/>
              <w:right w:val="single" w:color="BFBFBF" w:sz="4"/>
            </w:tcBorders>
            <w:shd w:fill="FFF2CC" w:val="clear"/>
            <w:tcMar>
              <w:top w:type="dxa" w:w="80"/>
              <w:left w:type="dxa" w:w="110"/>
              <w:bottom w:type="dxa" w:w="80"/>
              <w:right w:type="dxa" w:w="110"/>
            </w:tcMar>
          </w:tcPr>
          <w:p>
            <w:r>
              <w:rPr>
                <w:rFonts w:ascii="Arial" w:cs="Arial" w:eastAsia="Arial" w:hAnsi="Arial"/>
                <w:b w:val="false"/>
                <w:bCs w:val="false"/>
                <w:color w:val="000000"/>
                <w:sz w:val="21"/>
                <w:szCs w:val="21"/>
              </w:rPr>
              <w:t xml:space="preserve">[fill]</w:t>
            </w:r>
          </w:p>
        </w:tc>
        <w:tc>
          <w:tcPr>
            <w:tcW w:type="dxa" w:w="1800"/>
            <w:tcBorders>
              <w:top w:val="single" w:color="BFBFBF" w:sz="4"/>
              <w:left w:val="single" w:color="BFBFBF" w:sz="4"/>
              <w:bottom w:val="single" w:color="BFBFBF" w:sz="4"/>
              <w:right w:val="single" w:color="BFBFBF" w:sz="4"/>
            </w:tcBorders>
            <w:shd w:fill="FFF2CC" w:val="clear"/>
            <w:tcMar>
              <w:top w:type="dxa" w:w="80"/>
              <w:left w:type="dxa" w:w="110"/>
              <w:bottom w:type="dxa" w:w="80"/>
              <w:right w:type="dxa" w:w="110"/>
            </w:tcMar>
          </w:tcPr>
          <w:p>
            <w:r>
              <w:rPr>
                <w:rFonts w:ascii="Arial" w:cs="Arial" w:eastAsia="Arial" w:hAnsi="Arial"/>
                <w:b w:val="false"/>
                <w:bCs w:val="false"/>
                <w:color w:val="000000"/>
                <w:sz w:val="21"/>
                <w:szCs w:val="21"/>
              </w:rPr>
              <w:t xml:space="preserve">[fill]</w:t>
            </w:r>
          </w:p>
        </w:tc>
        <w:tc>
          <w:tcPr>
            <w:tcW w:type="dxa" w:w="1826"/>
            <w:tcBorders>
              <w:top w:val="single" w:color="BFBFBF" w:sz="4"/>
              <w:left w:val="single" w:color="BFBFBF" w:sz="4"/>
              <w:bottom w:val="single" w:color="BFBFBF" w:sz="4"/>
              <w:right w:val="single" w:color="BFBFBF" w:sz="4"/>
            </w:tcBorders>
            <w:shd w:fill="FFF2CC" w:val="clear"/>
            <w:tcMar>
              <w:top w:type="dxa" w:w="80"/>
              <w:left w:type="dxa" w:w="110"/>
              <w:bottom w:type="dxa" w:w="80"/>
              <w:right w:type="dxa" w:w="110"/>
            </w:tcMar>
          </w:tcPr>
          <w:p>
            <w:r>
              <w:rPr>
                <w:rFonts w:ascii="Arial" w:cs="Arial" w:eastAsia="Arial" w:hAnsi="Arial"/>
                <w:b w:val="false"/>
                <w:bCs w:val="false"/>
                <w:color w:val="000000"/>
                <w:sz w:val="21"/>
                <w:szCs w:val="21"/>
              </w:rPr>
              <w:t xml:space="preserve">[fill]</w:t>
            </w:r>
          </w:p>
        </w:tc>
      </w:tr>
      <w:tr>
        <w:trPr>
          <w:tblHeader w:val="false"/>
        </w:trPr>
        <w:tc>
          <w:tcPr>
            <w:tcW w:type="dxa" w:w="2300"/>
            <w:tcBorders>
              <w:top w:val="single" w:color="BFBFBF" w:sz="4"/>
              <w:left w:val="single" w:color="BFBFBF" w:sz="4"/>
              <w:bottom w:val="single" w:color="BFBFBF" w:sz="4"/>
              <w:right w:val="single" w:color="BFBFBF" w:sz="4"/>
            </w:tcBorders>
            <w:shd w:fill="F5F8FC" w:val="clear"/>
            <w:tcMar>
              <w:top w:type="dxa" w:w="80"/>
              <w:left w:type="dxa" w:w="110"/>
              <w:bottom w:type="dxa" w:w="80"/>
              <w:right w:type="dxa" w:w="110"/>
            </w:tcMar>
          </w:tcPr>
          <w:p>
            <w:r>
              <w:rPr>
                <w:rFonts w:ascii="Arial" w:cs="Arial" w:eastAsia="Arial" w:hAnsi="Arial"/>
                <w:b/>
                <w:bCs/>
                <w:color w:val="000000"/>
                <w:sz w:val="21"/>
                <w:szCs w:val="21"/>
              </w:rPr>
              <w:t xml:space="preserve">Feasibility</w:t>
            </w:r>
          </w:p>
        </w:tc>
        <w:tc>
          <w:tcPr>
            <w:tcW w:type="dxa" w:w="1700"/>
            <w:tcBorders>
              <w:top w:val="single" w:color="BFBFBF" w:sz="4"/>
              <w:left w:val="single" w:color="BFBFBF" w:sz="4"/>
              <w:bottom w:val="single" w:color="BFBFBF" w:sz="4"/>
              <w:right w:val="single" w:color="BFBFBF" w:sz="4"/>
            </w:tcBorders>
            <w:shd w:fill="FFF2CC" w:val="clear"/>
            <w:tcMar>
              <w:top w:type="dxa" w:w="80"/>
              <w:left w:type="dxa" w:w="110"/>
              <w:bottom w:type="dxa" w:w="80"/>
              <w:right w:type="dxa" w:w="110"/>
            </w:tcMar>
          </w:tcPr>
          <w:p>
            <w:r>
              <w:rPr>
                <w:rFonts w:ascii="Arial" w:cs="Arial" w:eastAsia="Arial" w:hAnsi="Arial"/>
                <w:b w:val="false"/>
                <w:bCs w:val="false"/>
                <w:color w:val="000000"/>
                <w:sz w:val="21"/>
                <w:szCs w:val="21"/>
              </w:rPr>
              <w:t xml:space="preserve">[fill]</w:t>
            </w:r>
          </w:p>
        </w:tc>
        <w:tc>
          <w:tcPr>
            <w:tcW w:type="dxa" w:w="1800"/>
            <w:tcBorders>
              <w:top w:val="single" w:color="BFBFBF" w:sz="4"/>
              <w:left w:val="single" w:color="BFBFBF" w:sz="4"/>
              <w:bottom w:val="single" w:color="BFBFBF" w:sz="4"/>
              <w:right w:val="single" w:color="BFBFBF" w:sz="4"/>
            </w:tcBorders>
            <w:shd w:fill="FFF2CC" w:val="clear"/>
            <w:tcMar>
              <w:top w:type="dxa" w:w="80"/>
              <w:left w:type="dxa" w:w="110"/>
              <w:bottom w:type="dxa" w:w="80"/>
              <w:right w:type="dxa" w:w="110"/>
            </w:tcMar>
          </w:tcPr>
          <w:p>
            <w:r>
              <w:rPr>
                <w:rFonts w:ascii="Arial" w:cs="Arial" w:eastAsia="Arial" w:hAnsi="Arial"/>
                <w:b w:val="false"/>
                <w:bCs w:val="false"/>
                <w:color w:val="000000"/>
                <w:sz w:val="21"/>
                <w:szCs w:val="21"/>
              </w:rPr>
              <w:t xml:space="preserve">[fill]</w:t>
            </w:r>
          </w:p>
        </w:tc>
        <w:tc>
          <w:tcPr>
            <w:tcW w:type="dxa" w:w="1800"/>
            <w:tcBorders>
              <w:top w:val="single" w:color="BFBFBF" w:sz="4"/>
              <w:left w:val="single" w:color="BFBFBF" w:sz="4"/>
              <w:bottom w:val="single" w:color="BFBFBF" w:sz="4"/>
              <w:right w:val="single" w:color="BFBFBF" w:sz="4"/>
            </w:tcBorders>
            <w:shd w:fill="FFF2CC" w:val="clear"/>
            <w:tcMar>
              <w:top w:type="dxa" w:w="80"/>
              <w:left w:type="dxa" w:w="110"/>
              <w:bottom w:type="dxa" w:w="80"/>
              <w:right w:type="dxa" w:w="110"/>
            </w:tcMar>
          </w:tcPr>
          <w:p>
            <w:r>
              <w:rPr>
                <w:rFonts w:ascii="Arial" w:cs="Arial" w:eastAsia="Arial" w:hAnsi="Arial"/>
                <w:b w:val="false"/>
                <w:bCs w:val="false"/>
                <w:color w:val="000000"/>
                <w:sz w:val="21"/>
                <w:szCs w:val="21"/>
              </w:rPr>
              <w:t xml:space="preserve">[fill]</w:t>
            </w:r>
          </w:p>
        </w:tc>
        <w:tc>
          <w:tcPr>
            <w:tcW w:type="dxa" w:w="1826"/>
            <w:tcBorders>
              <w:top w:val="single" w:color="BFBFBF" w:sz="4"/>
              <w:left w:val="single" w:color="BFBFBF" w:sz="4"/>
              <w:bottom w:val="single" w:color="BFBFBF" w:sz="4"/>
              <w:right w:val="single" w:color="BFBFBF" w:sz="4"/>
            </w:tcBorders>
            <w:shd w:fill="FFF2CC" w:val="clear"/>
            <w:tcMar>
              <w:top w:type="dxa" w:w="80"/>
              <w:left w:type="dxa" w:w="110"/>
              <w:bottom w:type="dxa" w:w="80"/>
              <w:right w:type="dxa" w:w="110"/>
            </w:tcMar>
          </w:tcPr>
          <w:p>
            <w:r>
              <w:rPr>
                <w:rFonts w:ascii="Arial" w:cs="Arial" w:eastAsia="Arial" w:hAnsi="Arial"/>
                <w:b w:val="false"/>
                <w:bCs w:val="false"/>
                <w:color w:val="000000"/>
                <w:sz w:val="21"/>
                <w:szCs w:val="21"/>
              </w:rPr>
              <w:t xml:space="preserve">[fill]</w:t>
            </w:r>
          </w:p>
        </w:tc>
      </w:tr>
      <w:tr>
        <w:trPr>
          <w:tblHeader w:val="false"/>
        </w:trPr>
        <w:tc>
          <w:tcPr>
            <w:tcW w:type="dxa" w:w="23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r>
              <w:rPr>
                <w:rFonts w:ascii="Arial" w:cs="Arial" w:eastAsia="Arial" w:hAnsi="Arial"/>
                <w:b/>
                <w:bCs/>
                <w:color w:val="000000"/>
                <w:sz w:val="21"/>
                <w:szCs w:val="21"/>
              </w:rPr>
              <w:t xml:space="preserve">Moves needed</w:t>
            </w:r>
          </w:p>
        </w:tc>
        <w:tc>
          <w:tcPr>
            <w:tcW w:type="dxa" w:w="17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r>
              <w:rPr>
                <w:rFonts w:ascii="Arial" w:cs="Arial" w:eastAsia="Arial" w:hAnsi="Arial"/>
                <w:b w:val="false"/>
                <w:bCs w:val="false"/>
                <w:color w:val="000000"/>
                <w:sz w:val="21"/>
                <w:szCs w:val="21"/>
              </w:rPr>
              <w:t xml:space="preserve">-</w:t>
            </w:r>
          </w:p>
        </w:tc>
        <w:tc>
          <w:tcPr>
            <w:tcW w:type="dxa" w:w="1800"/>
            <w:tcBorders>
              <w:top w:val="single" w:color="BFBFBF" w:sz="4"/>
              <w:left w:val="single" w:color="BFBFBF" w:sz="4"/>
              <w:bottom w:val="single" w:color="BFBFBF" w:sz="4"/>
              <w:right w:val="single" w:color="BFBFBF" w:sz="4"/>
            </w:tcBorders>
            <w:shd w:fill="FFF2CC" w:val="clear"/>
            <w:tcMar>
              <w:top w:type="dxa" w:w="80"/>
              <w:left w:type="dxa" w:w="110"/>
              <w:bottom w:type="dxa" w:w="80"/>
              <w:right w:type="dxa" w:w="110"/>
            </w:tcMar>
          </w:tcPr>
          <w:p>
            <w:r>
              <w:rPr>
                <w:rFonts w:ascii="Arial" w:cs="Arial" w:eastAsia="Arial" w:hAnsi="Arial"/>
                <w:b w:val="false"/>
                <w:bCs w:val="false"/>
                <w:color w:val="000000"/>
                <w:sz w:val="21"/>
                <w:szCs w:val="21"/>
              </w:rPr>
              <w:t xml:space="preserve">[fill]</w:t>
            </w:r>
          </w:p>
        </w:tc>
        <w:tc>
          <w:tcPr>
            <w:tcW w:type="dxa" w:w="1800"/>
            <w:tcBorders>
              <w:top w:val="single" w:color="BFBFBF" w:sz="4"/>
              <w:left w:val="single" w:color="BFBFBF" w:sz="4"/>
              <w:bottom w:val="single" w:color="BFBFBF" w:sz="4"/>
              <w:right w:val="single" w:color="BFBFBF" w:sz="4"/>
            </w:tcBorders>
            <w:shd w:fill="FFF2CC" w:val="clear"/>
            <w:tcMar>
              <w:top w:type="dxa" w:w="80"/>
              <w:left w:type="dxa" w:w="110"/>
              <w:bottom w:type="dxa" w:w="80"/>
              <w:right w:type="dxa" w:w="110"/>
            </w:tcMar>
          </w:tcPr>
          <w:p>
            <w:r>
              <w:rPr>
                <w:rFonts w:ascii="Arial" w:cs="Arial" w:eastAsia="Arial" w:hAnsi="Arial"/>
                <w:b w:val="false"/>
                <w:bCs w:val="false"/>
                <w:color w:val="000000"/>
                <w:sz w:val="21"/>
                <w:szCs w:val="21"/>
              </w:rPr>
              <w:t xml:space="preserve">[fill]</w:t>
            </w:r>
          </w:p>
        </w:tc>
        <w:tc>
          <w:tcPr>
            <w:tcW w:type="dxa" w:w="1826"/>
            <w:tcBorders>
              <w:top w:val="single" w:color="BFBFBF" w:sz="4"/>
              <w:left w:val="single" w:color="BFBFBF" w:sz="4"/>
              <w:bottom w:val="single" w:color="BFBFBF" w:sz="4"/>
              <w:right w:val="single" w:color="BFBFBF" w:sz="4"/>
            </w:tcBorders>
            <w:shd w:fill="FFF2CC" w:val="clear"/>
            <w:tcMar>
              <w:top w:type="dxa" w:w="80"/>
              <w:left w:type="dxa" w:w="110"/>
              <w:bottom w:type="dxa" w:w="80"/>
              <w:right w:type="dxa" w:w="110"/>
            </w:tcMar>
          </w:tcPr>
          <w:p>
            <w:r>
              <w:rPr>
                <w:rFonts w:ascii="Arial" w:cs="Arial" w:eastAsia="Arial" w:hAnsi="Arial"/>
                <w:b w:val="false"/>
                <w:bCs w:val="false"/>
                <w:color w:val="000000"/>
                <w:sz w:val="21"/>
                <w:szCs w:val="21"/>
              </w:rPr>
              <w:t xml:space="preserve">[fill]</w:t>
            </w:r>
          </w:p>
        </w:tc>
      </w:tr>
      <w:tr>
        <w:trPr>
          <w:tblHeader w:val="false"/>
        </w:trPr>
        <w:tc>
          <w:tcPr>
            <w:tcW w:type="dxa" w:w="2300"/>
            <w:tcBorders>
              <w:top w:val="single" w:color="BFBFBF" w:sz="4"/>
              <w:left w:val="single" w:color="BFBFBF" w:sz="4"/>
              <w:bottom w:val="single" w:color="BFBFBF" w:sz="4"/>
              <w:right w:val="single" w:color="BFBFBF" w:sz="4"/>
            </w:tcBorders>
            <w:shd w:fill="F5F8FC" w:val="clear"/>
            <w:tcMar>
              <w:top w:type="dxa" w:w="80"/>
              <w:left w:type="dxa" w:w="110"/>
              <w:bottom w:type="dxa" w:w="80"/>
              <w:right w:type="dxa" w:w="110"/>
            </w:tcMar>
          </w:tcPr>
          <w:p>
            <w:r>
              <w:rPr>
                <w:rFonts w:ascii="Arial" w:cs="Arial" w:eastAsia="Arial" w:hAnsi="Arial"/>
                <w:b/>
                <w:bCs/>
                <w:color w:val="000000"/>
                <w:sz w:val="21"/>
                <w:szCs w:val="21"/>
              </w:rPr>
              <w:t xml:space="preserve">Handling cost</w:t>
            </w:r>
          </w:p>
        </w:tc>
        <w:tc>
          <w:tcPr>
            <w:tcW w:type="dxa" w:w="1700"/>
            <w:tcBorders>
              <w:top w:val="single" w:color="BFBFBF" w:sz="4"/>
              <w:left w:val="single" w:color="BFBFBF" w:sz="4"/>
              <w:bottom w:val="single" w:color="BFBFBF" w:sz="4"/>
              <w:right w:val="single" w:color="BFBFBF" w:sz="4"/>
            </w:tcBorders>
            <w:shd w:fill="FFF2CC" w:val="clear"/>
            <w:tcMar>
              <w:top w:type="dxa" w:w="80"/>
              <w:left w:type="dxa" w:w="110"/>
              <w:bottom w:type="dxa" w:w="80"/>
              <w:right w:type="dxa" w:w="110"/>
            </w:tcMar>
          </w:tcPr>
          <w:p>
            <w:r>
              <w:rPr>
                <w:rFonts w:ascii="Arial" w:cs="Arial" w:eastAsia="Arial" w:hAnsi="Arial"/>
                <w:b w:val="false"/>
                <w:bCs w:val="false"/>
                <w:color w:val="000000"/>
                <w:sz w:val="21"/>
                <w:szCs w:val="21"/>
              </w:rPr>
              <w:t xml:space="preserve">[fill]</w:t>
            </w:r>
          </w:p>
        </w:tc>
        <w:tc>
          <w:tcPr>
            <w:tcW w:type="dxa" w:w="1800"/>
            <w:tcBorders>
              <w:top w:val="single" w:color="BFBFBF" w:sz="4"/>
              <w:left w:val="single" w:color="BFBFBF" w:sz="4"/>
              <w:bottom w:val="single" w:color="BFBFBF" w:sz="4"/>
              <w:right w:val="single" w:color="BFBFBF" w:sz="4"/>
            </w:tcBorders>
            <w:shd w:fill="FFF2CC" w:val="clear"/>
            <w:tcMar>
              <w:top w:type="dxa" w:w="80"/>
              <w:left w:type="dxa" w:w="110"/>
              <w:bottom w:type="dxa" w:w="80"/>
              <w:right w:type="dxa" w:w="110"/>
            </w:tcMar>
          </w:tcPr>
          <w:p>
            <w:r>
              <w:rPr>
                <w:rFonts w:ascii="Arial" w:cs="Arial" w:eastAsia="Arial" w:hAnsi="Arial"/>
                <w:b w:val="false"/>
                <w:bCs w:val="false"/>
                <w:color w:val="000000"/>
                <w:sz w:val="21"/>
                <w:szCs w:val="21"/>
              </w:rPr>
              <w:t xml:space="preserve">[fill]</w:t>
            </w:r>
          </w:p>
        </w:tc>
        <w:tc>
          <w:tcPr>
            <w:tcW w:type="dxa" w:w="1800"/>
            <w:tcBorders>
              <w:top w:val="single" w:color="BFBFBF" w:sz="4"/>
              <w:left w:val="single" w:color="BFBFBF" w:sz="4"/>
              <w:bottom w:val="single" w:color="BFBFBF" w:sz="4"/>
              <w:right w:val="single" w:color="BFBFBF" w:sz="4"/>
            </w:tcBorders>
            <w:shd w:fill="FFF2CC" w:val="clear"/>
            <w:tcMar>
              <w:top w:type="dxa" w:w="80"/>
              <w:left w:type="dxa" w:w="110"/>
              <w:bottom w:type="dxa" w:w="80"/>
              <w:right w:type="dxa" w:w="110"/>
            </w:tcMar>
          </w:tcPr>
          <w:p>
            <w:r>
              <w:rPr>
                <w:rFonts w:ascii="Arial" w:cs="Arial" w:eastAsia="Arial" w:hAnsi="Arial"/>
                <w:b w:val="false"/>
                <w:bCs w:val="false"/>
                <w:color w:val="000000"/>
                <w:sz w:val="21"/>
                <w:szCs w:val="21"/>
              </w:rPr>
              <w:t xml:space="preserve">[fill]</w:t>
            </w:r>
          </w:p>
        </w:tc>
        <w:tc>
          <w:tcPr>
            <w:tcW w:type="dxa" w:w="1826"/>
            <w:tcBorders>
              <w:top w:val="single" w:color="BFBFBF" w:sz="4"/>
              <w:left w:val="single" w:color="BFBFBF" w:sz="4"/>
              <w:bottom w:val="single" w:color="BFBFBF" w:sz="4"/>
              <w:right w:val="single" w:color="BFBFBF" w:sz="4"/>
            </w:tcBorders>
            <w:shd w:fill="FFF2CC" w:val="clear"/>
            <w:tcMar>
              <w:top w:type="dxa" w:w="80"/>
              <w:left w:type="dxa" w:w="110"/>
              <w:bottom w:type="dxa" w:w="80"/>
              <w:right w:type="dxa" w:w="110"/>
            </w:tcMar>
          </w:tcPr>
          <w:p>
            <w:r>
              <w:rPr>
                <w:rFonts w:ascii="Arial" w:cs="Arial" w:eastAsia="Arial" w:hAnsi="Arial"/>
                <w:b w:val="false"/>
                <w:bCs w:val="false"/>
                <w:color w:val="000000"/>
                <w:sz w:val="21"/>
                <w:szCs w:val="21"/>
              </w:rPr>
              <w:t xml:space="preserve">[fill]</w:t>
            </w:r>
          </w:p>
        </w:tc>
      </w:tr>
      <w:tr>
        <w:trPr>
          <w:tblHeader w:val="false"/>
        </w:trPr>
        <w:tc>
          <w:tcPr>
            <w:tcW w:type="dxa" w:w="23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r>
              <w:rPr>
                <w:rFonts w:ascii="Arial" w:cs="Arial" w:eastAsia="Arial" w:hAnsi="Arial"/>
                <w:b/>
                <w:bCs/>
                <w:color w:val="000000"/>
                <w:sz w:val="21"/>
                <w:szCs w:val="21"/>
              </w:rPr>
              <w:t xml:space="preserve">Payback (days)</w:t>
            </w:r>
          </w:p>
        </w:tc>
        <w:tc>
          <w:tcPr>
            <w:tcW w:type="dxa" w:w="17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r>
              <w:rPr>
                <w:rFonts w:ascii="Arial" w:cs="Arial" w:eastAsia="Arial" w:hAnsi="Arial"/>
                <w:b w:val="false"/>
                <w:bCs w:val="false"/>
                <w:color w:val="000000"/>
                <w:sz w:val="21"/>
                <w:szCs w:val="21"/>
              </w:rPr>
              <w:t xml:space="preserve">-</w:t>
            </w:r>
          </w:p>
        </w:tc>
        <w:tc>
          <w:tcPr>
            <w:tcW w:type="dxa" w:w="1800"/>
            <w:tcBorders>
              <w:top w:val="single" w:color="BFBFBF" w:sz="4"/>
              <w:left w:val="single" w:color="BFBFBF" w:sz="4"/>
              <w:bottom w:val="single" w:color="BFBFBF" w:sz="4"/>
              <w:right w:val="single" w:color="BFBFBF" w:sz="4"/>
            </w:tcBorders>
            <w:shd w:fill="FFF2CC" w:val="clear"/>
            <w:tcMar>
              <w:top w:type="dxa" w:w="80"/>
              <w:left w:type="dxa" w:w="110"/>
              <w:bottom w:type="dxa" w:w="80"/>
              <w:right w:type="dxa" w:w="110"/>
            </w:tcMar>
          </w:tcPr>
          <w:p>
            <w:r>
              <w:rPr>
                <w:rFonts w:ascii="Arial" w:cs="Arial" w:eastAsia="Arial" w:hAnsi="Arial"/>
                <w:b w:val="false"/>
                <w:bCs w:val="false"/>
                <w:color w:val="000000"/>
                <w:sz w:val="21"/>
                <w:szCs w:val="21"/>
              </w:rPr>
              <w:t xml:space="preserve">[fill]</w:t>
            </w:r>
          </w:p>
        </w:tc>
        <w:tc>
          <w:tcPr>
            <w:tcW w:type="dxa" w:w="1800"/>
            <w:tcBorders>
              <w:top w:val="single" w:color="BFBFBF" w:sz="4"/>
              <w:left w:val="single" w:color="BFBFBF" w:sz="4"/>
              <w:bottom w:val="single" w:color="BFBFBF" w:sz="4"/>
              <w:right w:val="single" w:color="BFBFBF" w:sz="4"/>
            </w:tcBorders>
            <w:shd w:fill="FFF2CC" w:val="clear"/>
            <w:tcMar>
              <w:top w:type="dxa" w:w="80"/>
              <w:left w:type="dxa" w:w="110"/>
              <w:bottom w:type="dxa" w:w="80"/>
              <w:right w:type="dxa" w:w="110"/>
            </w:tcMar>
          </w:tcPr>
          <w:p>
            <w:r>
              <w:rPr>
                <w:rFonts w:ascii="Arial" w:cs="Arial" w:eastAsia="Arial" w:hAnsi="Arial"/>
                <w:b w:val="false"/>
                <w:bCs w:val="false"/>
                <w:color w:val="000000"/>
                <w:sz w:val="21"/>
                <w:szCs w:val="21"/>
              </w:rPr>
              <w:t xml:space="preserve">[fill]</w:t>
            </w:r>
          </w:p>
        </w:tc>
        <w:tc>
          <w:tcPr>
            <w:tcW w:type="dxa" w:w="1826"/>
            <w:tcBorders>
              <w:top w:val="single" w:color="BFBFBF" w:sz="4"/>
              <w:left w:val="single" w:color="BFBFBF" w:sz="4"/>
              <w:bottom w:val="single" w:color="BFBFBF" w:sz="4"/>
              <w:right w:val="single" w:color="BFBFBF" w:sz="4"/>
            </w:tcBorders>
            <w:shd w:fill="FFF2CC" w:val="clear"/>
            <w:tcMar>
              <w:top w:type="dxa" w:w="80"/>
              <w:left w:type="dxa" w:w="110"/>
              <w:bottom w:type="dxa" w:w="80"/>
              <w:right w:type="dxa" w:w="110"/>
            </w:tcMar>
          </w:tcPr>
          <w:p>
            <w:r>
              <w:rPr>
                <w:rFonts w:ascii="Arial" w:cs="Arial" w:eastAsia="Arial" w:hAnsi="Arial"/>
                <w:b w:val="false"/>
                <w:bCs w:val="false"/>
                <w:color w:val="000000"/>
                <w:sz w:val="21"/>
                <w:szCs w:val="21"/>
              </w:rPr>
              <w:t xml:space="preserve">[fill]</w:t>
            </w:r>
          </w:p>
        </w:tc>
      </w:tr>
    </w:tbl>
    <w:p>
      <w:pPr>
        <w:pStyle w:val="Heading1"/>
        <w:spacing w:after="140" w:before="320"/>
      </w:pPr>
      <w:r>
        <w:rPr>
          <w:rFonts w:ascii="Arial" w:cs="Arial" w:eastAsia="Arial" w:hAnsi="Arial"/>
          <w:b/>
          <w:bCs/>
          <w:color w:val="1F3864"/>
          <w:sz w:val="32"/>
          <w:szCs w:val="32"/>
        </w:rPr>
        <w:t xml:space="preserve">7. Demo flow</w:t>
      </w:r>
    </w:p>
    <w:p>
      <w:pPr>
        <w:pStyle w:val="ListParagraph"/>
        <w:numPr>
          <w:ilvl w:val="0"/>
          <w:numId w:val="4"/>
        </w:numPr>
        <w:spacing w:after="80"/>
      </w:pPr>
      <w:r>
        <w:rPr>
          <w:rFonts w:ascii="Arial" w:cs="Arial" w:eastAsia="Arial" w:hAnsi="Arial"/>
          <w:sz w:val="23"/>
          <w:szCs w:val="23"/>
        </w:rPr>
        <w:t xml:space="preserve">Upload data and show the data-quality report</w:t>
      </w:r>
    </w:p>
    <w:p>
      <w:pPr>
        <w:pStyle w:val="ListParagraph"/>
        <w:numPr>
          <w:ilvl w:val="0"/>
          <w:numId w:val="4"/>
        </w:numPr>
        <w:spacing w:after="80"/>
      </w:pPr>
      <w:r>
        <w:rPr>
          <w:rFonts w:ascii="Arial" w:cs="Arial" w:eastAsia="Arial" w:hAnsi="Arial"/>
          <w:sz w:val="23"/>
          <w:szCs w:val="23"/>
        </w:rPr>
        <w:t xml:space="preserve">Open the strategy leaderboard</w:t>
      </w:r>
    </w:p>
    <w:p>
      <w:pPr>
        <w:pStyle w:val="ListParagraph"/>
        <w:numPr>
          <w:ilvl w:val="0"/>
          <w:numId w:val="4"/>
        </w:numPr>
        <w:spacing w:after="80"/>
      </w:pPr>
      <w:r>
        <w:rPr>
          <w:rFonts w:ascii="Arial" w:cs="Arial" w:eastAsia="Arial" w:hAnsi="Arial"/>
          <w:sz w:val="23"/>
          <w:szCs w:val="23"/>
        </w:rPr>
        <w:t xml:space="preserve">Show the before/after heatmap</w:t>
      </w:r>
    </w:p>
    <w:p>
      <w:pPr>
        <w:pStyle w:val="ListParagraph"/>
        <w:numPr>
          <w:ilvl w:val="0"/>
          <w:numId w:val="4"/>
        </w:numPr>
        <w:spacing w:after="80"/>
      </w:pPr>
      <w:r>
        <w:rPr>
          <w:rFonts w:ascii="Arial" w:cs="Arial" w:eastAsia="Arial" w:hAnsi="Arial"/>
          <w:sz w:val="23"/>
          <w:szCs w:val="23"/>
        </w:rPr>
        <w:t xml:space="preserve">Look up one product ID and read its reason</w:t>
      </w:r>
    </w:p>
    <w:p>
      <w:pPr>
        <w:pStyle w:val="ListParagraph"/>
        <w:numPr>
          <w:ilvl w:val="0"/>
          <w:numId w:val="4"/>
        </w:numPr>
        <w:spacing w:after="80"/>
      </w:pPr>
      <w:r>
        <w:rPr>
          <w:rFonts w:ascii="Arial" w:cs="Arial" w:eastAsia="Arial" w:hAnsi="Arial"/>
          <w:sz w:val="23"/>
          <w:szCs w:val="23"/>
        </w:rPr>
        <w:t xml:space="preserve">Drag the what-if demand slider</w:t>
      </w:r>
    </w:p>
    <w:p>
      <w:pPr>
        <w:pStyle w:val="ListParagraph"/>
        <w:numPr>
          <w:ilvl w:val="0"/>
          <w:numId w:val="4"/>
        </w:numPr>
        <w:spacing w:after="80"/>
      </w:pPr>
      <w:r>
        <w:rPr>
          <w:rFonts w:ascii="Arial" w:cs="Arial" w:eastAsia="Arial" w:hAnsi="Arial"/>
          <w:sz w:val="23"/>
          <w:szCs w:val="23"/>
        </w:rPr>
        <w:t xml:space="preserve">Show the re-slotting plan and payback</w:t>
      </w:r>
    </w:p>
    <w:p>
      <w:pPr>
        <w:pStyle w:val="Heading1"/>
        <w:spacing w:after="140" w:before="320"/>
      </w:pPr>
      <w:r>
        <w:rPr>
          <w:rFonts w:ascii="Arial" w:cs="Arial" w:eastAsia="Arial" w:hAnsi="Arial"/>
          <w:b/>
          <w:bCs/>
          <w:color w:val="1F3864"/>
          <w:sz w:val="32"/>
          <w:szCs w:val="32"/>
        </w:rPr>
        <w:t xml:space="preserve">8. Reproducibility and technology</w:t>
      </w:r>
    </w:p>
    <w:p>
      <w:pPr>
        <w:pStyle w:val="ListParagraph"/>
        <w:numPr>
          <w:ilvl w:val="0"/>
          <w:numId w:val="3"/>
        </w:numPr>
        <w:spacing w:after="70"/>
      </w:pPr>
      <w:r>
        <w:rPr>
          <w:rFonts w:ascii="Arial" w:cs="Arial" w:eastAsia="Arial" w:hAnsi="Arial"/>
          <w:sz w:val="23"/>
          <w:szCs w:val="23"/>
        </w:rPr>
        <w:t xml:space="preserve">Python, pandas, NumPy, SciPy, PuLP, FastAPI. Tests run with pytest.</w:t>
      </w:r>
    </w:p>
    <w:p>
      <w:pPr>
        <w:pStyle w:val="ListParagraph"/>
        <w:numPr>
          <w:ilvl w:val="0"/>
          <w:numId w:val="3"/>
        </w:numPr>
        <w:spacing w:after="70"/>
      </w:pPr>
      <w:r>
        <w:rPr>
          <w:rFonts w:ascii="Arial" w:cs="Arial" w:eastAsia="Arial" w:hAnsi="Arial"/>
          <w:sz w:val="23"/>
          <w:szCs w:val="23"/>
        </w:rPr>
        <w:t xml:space="preserve">Fixed random seed, so the same input always gives the same output.</w:t>
      </w:r>
    </w:p>
    <w:p>
      <w:pPr>
        <w:pStyle w:val="ListParagraph"/>
        <w:numPr>
          <w:ilvl w:val="0"/>
          <w:numId w:val="3"/>
        </w:numPr>
        <w:spacing w:after="70"/>
      </w:pPr>
      <w:r>
        <w:rPr>
          <w:rFonts w:ascii="Arial" w:cs="Arial" w:eastAsia="Arial" w:hAnsi="Arial"/>
          <w:sz w:val="23"/>
          <w:szCs w:val="23"/>
        </w:rPr>
        <w:t xml:space="preserve">No GPU and no paid external API are needed for the core optimization.</w:t>
      </w:r>
    </w:p>
    <w:p>
      <w:pPr>
        <w:pStyle w:val="ListParagraph"/>
        <w:numPr>
          <w:ilvl w:val="0"/>
          <w:numId w:val="3"/>
        </w:numPr>
        <w:spacing w:after="70"/>
      </w:pPr>
      <w:r>
        <w:rPr>
          <w:rFonts w:ascii="Arial" w:cs="Arial" w:eastAsia="Arial" w:hAnsi="Arial"/>
          <w:sz w:val="23"/>
          <w:szCs w:val="23"/>
        </w:rPr>
        <w:t xml:space="preserve">Sample data, setup steps and REPORT.md are in the GitHub repository.</w:t>
      </w:r>
    </w:p>
    <w:p>
      <w:pPr>
        <w:pStyle w:val="Heading1"/>
        <w:spacing w:after="140" w:before="320"/>
      </w:pPr>
      <w:r>
        <w:rPr>
          <w:rFonts w:ascii="Arial" w:cs="Arial" w:eastAsia="Arial" w:hAnsi="Arial"/>
          <w:b/>
          <w:bCs/>
          <w:color w:val="1F3864"/>
          <w:sz w:val="32"/>
          <w:szCs w:val="32"/>
        </w:rPr>
        <w:t xml:space="preserve">9. Limitations and future work</w:t>
      </w:r>
    </w:p>
    <w:p>
      <w:pPr>
        <w:pStyle w:val="Heading2"/>
        <w:spacing w:after="100" w:before="200"/>
      </w:pPr>
      <w:r>
        <w:rPr>
          <w:rFonts w:ascii="Arial" w:cs="Arial" w:eastAsia="Arial" w:hAnsi="Arial"/>
          <w:b/>
          <w:bCs/>
          <w:color w:val="2E5597"/>
          <w:sz w:val="25"/>
          <w:szCs w:val="25"/>
        </w:rPr>
        <w:t xml:space="preserve">Limitations</w:t>
      </w:r>
    </w:p>
    <w:p>
      <w:pPr>
        <w:pStyle w:val="ListParagraph"/>
        <w:numPr>
          <w:ilvl w:val="0"/>
          <w:numId w:val="3"/>
        </w:numPr>
        <w:spacing w:after="70"/>
      </w:pPr>
      <w:r>
        <w:rPr>
          <w:rFonts w:ascii="Arial" w:cs="Arial" w:eastAsia="Arial" w:hAnsi="Arial"/>
          <w:sz w:val="23"/>
          <w:szCs w:val="23"/>
        </w:rPr>
        <w:t xml:space="preserve">Results use generated sample data, not a live warehouse.</w:t>
      </w:r>
    </w:p>
    <w:p>
      <w:pPr>
        <w:pStyle w:val="ListParagraph"/>
        <w:numPr>
          <w:ilvl w:val="0"/>
          <w:numId w:val="3"/>
        </w:numPr>
        <w:spacing w:after="70"/>
      </w:pPr>
      <w:r>
        <w:rPr>
          <w:rFonts w:ascii="Arial" w:cs="Arial" w:eastAsia="Arial" w:hAnsi="Arial"/>
          <w:sz w:val="23"/>
          <w:szCs w:val="23"/>
        </w:rPr>
        <w:t xml:space="preserve">Distance is measured to a single dispatch door, without detailed aisle routing.</w:t>
      </w:r>
    </w:p>
    <w:p>
      <w:pPr>
        <w:pStyle w:val="ListParagraph"/>
        <w:numPr>
          <w:ilvl w:val="0"/>
          <w:numId w:val="3"/>
        </w:numPr>
        <w:spacing w:after="70"/>
      </w:pPr>
      <w:r>
        <w:rPr>
          <w:rFonts w:ascii="Arial" w:cs="Arial" w:eastAsia="Arial" w:hAnsi="Arial"/>
          <w:sz w:val="23"/>
          <w:szCs w:val="23"/>
        </w:rPr>
        <w:t xml:space="preserve">Handling cost depends on stated assumptions.</w:t>
      </w:r>
    </w:p>
    <w:p>
      <w:pPr>
        <w:pStyle w:val="Heading2"/>
        <w:spacing w:after="100" w:before="200"/>
      </w:pPr>
      <w:r>
        <w:rPr>
          <w:rFonts w:ascii="Arial" w:cs="Arial" w:eastAsia="Arial" w:hAnsi="Arial"/>
          <w:b/>
          <w:bCs/>
          <w:color w:val="2E5597"/>
          <w:sz w:val="25"/>
          <w:szCs w:val="25"/>
        </w:rPr>
        <w:t xml:space="preserve">Future improvements</w:t>
      </w:r>
    </w:p>
    <w:p>
      <w:pPr>
        <w:pStyle w:val="ListParagraph"/>
        <w:numPr>
          <w:ilvl w:val="0"/>
          <w:numId w:val="3"/>
        </w:numPr>
        <w:spacing w:after="70"/>
      </w:pPr>
      <w:r>
        <w:rPr>
          <w:rFonts w:ascii="Arial" w:cs="Arial" w:eastAsia="Arial" w:hAnsi="Arial"/>
          <w:sz w:val="23"/>
          <w:szCs w:val="23"/>
        </w:rPr>
        <w:t xml:space="preserve">Real aisle-based route modelling and multiple dispatch points.</w:t>
      </w:r>
    </w:p>
    <w:p>
      <w:pPr>
        <w:pStyle w:val="ListParagraph"/>
        <w:numPr>
          <w:ilvl w:val="0"/>
          <w:numId w:val="3"/>
        </w:numPr>
        <w:spacing w:after="70"/>
      </w:pPr>
      <w:r>
        <w:rPr>
          <w:rFonts w:ascii="Arial" w:cs="Arial" w:eastAsia="Arial" w:hAnsi="Arial"/>
          <w:sz w:val="23"/>
          <w:szCs w:val="23"/>
        </w:rPr>
        <w:t xml:space="preserve">Integration with live inventory or ERP data.</w:t>
      </w:r>
    </w:p>
    <w:p>
      <w:pPr>
        <w:pStyle w:val="ListParagraph"/>
        <w:numPr>
          <w:ilvl w:val="0"/>
          <w:numId w:val="3"/>
        </w:numPr>
        <w:spacing w:after="70"/>
      </w:pPr>
      <w:r>
        <w:rPr>
          <w:rFonts w:ascii="Arial" w:cs="Arial" w:eastAsia="Arial" w:hAnsi="Arial"/>
          <w:sz w:val="23"/>
          <w:szCs w:val="23"/>
        </w:rPr>
        <w:t xml:space="preserve">Automatic re-slotting alerts when demand shifts.</w:t>
      </w:r>
    </w:p>
    <w:p>
      <w:pPr>
        <w:pStyle w:val="ListParagraph"/>
        <w:numPr>
          <w:ilvl w:val="0"/>
          <w:numId w:val="3"/>
        </w:numPr>
        <w:spacing w:after="70"/>
      </w:pPr>
      <w:r>
        <w:rPr>
          <w:rFonts w:ascii="Arial" w:cs="Arial" w:eastAsia="Arial" w:hAnsi="Arial"/>
          <w:sz w:val="23"/>
          <w:szCs w:val="23"/>
        </w:rPr>
        <w:t xml:space="preserve">Weight, stacking and temperature-based storage rules.</w:t>
      </w:r>
    </w:p>
    <w:p>
      <w:pPr>
        <w:pStyle w:val="Heading1"/>
        <w:spacing w:after="140" w:before="320"/>
      </w:pPr>
      <w:r>
        <w:rPr>
          <w:rFonts w:ascii="Arial" w:cs="Arial" w:eastAsia="Arial" w:hAnsi="Arial"/>
          <w:b/>
          <w:bCs/>
          <w:color w:val="1F3864"/>
          <w:sz w:val="32"/>
          <w:szCs w:val="32"/>
        </w:rPr>
        <w:t xml:space="preserve">10. Conclusion</w:t>
      </w:r>
    </w:p>
    <w:p>
      <w:pPr>
        <w:spacing w:after="110"/>
      </w:pPr>
      <w:r>
        <w:rPr>
          <w:rFonts w:ascii="Arial" w:cs="Arial" w:eastAsia="Arial" w:hAnsi="Arial"/>
          <w:sz w:val="23"/>
          <w:szCs w:val="23"/>
        </w:rPr>
        <w:t xml:space="preserve">SlotIQ shows that intelligent product placement can cut picking distance, use space better, and reduce unnecessary movement, with every claim backed by measured data and a reproducible method.</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2026-10-12T14:23:31.174Z</dcterms:created>
  <dcterms:modified xsi:type="dcterms:W3CDTF">2026-10-12T14:23:31.192Z</dcterms:modified>
</cp:coreProperties>
</file>

<file path=docProps/custom.xml><?xml version="1.0" encoding="utf-8"?>
<Properties xmlns="http://schemas.openxmlformats.org/officeDocument/2006/custom-properties" xmlns:vt="http://schemas.openxmlformats.org/officeDocument/2006/docPropsVTypes"/>
</file>