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SIMATS ENGINEERING</w:t>
      </w:r>
    </w:p>
    <w:p>
      <w:pPr>
        <w:spacing w:after="60"/>
        <w:jc w:val="center"/>
      </w:pPr>
      <w:r>
        <w:rPr>
          <w:b/>
          <w:bCs/>
          <w:sz w:val="26"/>
          <w:szCs w:val="26"/>
        </w:rPr>
        <w:t xml:space="preserve">Assessment Tool 1: Experiments — Answers</w:t>
      </w:r>
    </w:p>
    <w:p>
      <w:pPr>
        <w:spacing w:after="300"/>
        <w:jc w:val="center"/>
      </w:pPr>
      <w:r>
        <w:rPr>
          <w:i/>
          <w:iCs/>
          <w:color w:val="555555"/>
          <w:sz w:val="20"/>
          <w:szCs w:val="20"/>
        </w:rPr>
        <w:t xml:space="preserve">Course: Cloud Computing and Big Data Analytics (CSA15)  |  CO3</w:t>
      </w:r>
    </w:p>
    <w:p>
      <w:pPr>
        <w:pStyle w:val="Heading1"/>
        <w:spacing w:after="150" w:before="300"/>
      </w:pPr>
      <w:r>
        <w:rPr>
          <w:b/>
          <w:bCs/>
          <w:color w:val="1F4E79"/>
        </w:rPr>
        <w:t xml:space="preserve">Experiment 1: Cloud Storage Comparison — Object, Block, and File</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Task: Create and document a cloud storage comparison between object, block, and file storage. Select the best storage model for backups, VM disks, and shared enterprise documents.</w:t>
      </w:r>
    </w:p>
    <w:p>
      <w:pPr>
        <w:pStyle w:val="Heading2"/>
        <w:spacing w:after="100" w:before="240"/>
      </w:pPr>
      <w:r>
        <w:rPr>
          <w:b/>
          <w:bCs/>
          <w:color w:val="2E75B6"/>
        </w:rPr>
        <w:t xml:space="preserve">Objective</w:t>
      </w:r>
    </w:p>
    <w:p>
      <w:pPr>
        <w:spacing w:after="120" w:line="276"/>
      </w:pPr>
      <w:r>
        <w:t xml:space="preserve">To compare object, block, and file storage models on structure, performance, cost, and access pattern, and to recommend the most suitable model for three practical enterprise scenarios: backups, VM disks, and shared documents.</w:t>
      </w:r>
    </w:p>
    <w:p>
      <w:pPr>
        <w:pStyle w:val="Heading2"/>
        <w:spacing w:after="100" w:before="240"/>
      </w:pPr>
      <w:r>
        <w:rPr>
          <w:b/>
          <w:bCs/>
          <w:color w:val="2E75B6"/>
        </w:rPr>
        <w:t xml:space="preserve">Architecture Sketch</w:t>
      </w:r>
    </w:p>
    <w:p>
      <w:pPr>
        <w:pBdr>
          <w:top w:val="single" w:color="AAAAAA" w:sz="4"/>
          <w:bottom w:val="single" w:color="AAAAAA" w:sz="4"/>
          <w:left w:val="single" w:color="AAAAAA" w:sz="4"/>
          <w:right w:val="single" w:color="AAAAAA" w:sz="4"/>
        </w:pBdr>
        <w:shd w:fill="F5F5F5" w:val="clear"/>
        <w:spacing w:after="200" w:before="100"/>
      </w:pPr>
      <w:r>
        <w:rPr>
          <w:rFonts w:ascii="Consolas" w:cs="Consolas" w:eastAsia="Consolas" w:hAnsi="Consolas"/>
          <w:sz w:val="20"/>
          <w:szCs w:val="20"/>
        </w:rPr>
        <w:t xml:space="preserve">[ Application / User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            |                |</w:t>
      </w:r>
      <w:r>
        <w:br/>
        <w:t xml:space="preserve"/>
      </w:r>
      <w:r>
        <w:rPr>
          <w:rFonts w:ascii="Consolas" w:cs="Consolas" w:eastAsia="Consolas" w:hAnsi="Consolas"/>
          <w:sz w:val="20"/>
          <w:szCs w:val="20"/>
        </w:rPr>
        <w:t xml:space="preserve">Block API   File Protocol    REST/HTTP API</w:t>
      </w:r>
      <w:r>
        <w:br/>
        <w:t xml:space="preserve"/>
      </w:r>
      <w:r>
        <w:rPr>
          <w:rFonts w:ascii="Consolas" w:cs="Consolas" w:eastAsia="Consolas" w:hAnsi="Consolas"/>
          <w:sz w:val="20"/>
          <w:szCs w:val="20"/>
        </w:rPr>
        <w:t xml:space="preserve">(iSCSI/FC)  (NFS/SMB)        (S3/Blob API)</w:t>
      </w:r>
      <w:r>
        <w:br/>
        <w:t xml:space="preserve"/>
      </w:r>
      <w:r>
        <w:rPr>
          <w:rFonts w:ascii="Consolas" w:cs="Consolas" w:eastAsia="Consolas" w:hAnsi="Consolas"/>
          <w:sz w:val="20"/>
          <w:szCs w:val="20"/>
        </w:rPr>
        <w:t xml:space="preserve">  |            |                |</w:t>
      </w:r>
      <w:r>
        <w:br/>
        <w:t xml:space="preserve"/>
      </w:r>
      <w:r>
        <w:rPr>
          <w:rFonts w:ascii="Consolas" w:cs="Consolas" w:eastAsia="Consolas" w:hAnsi="Consolas"/>
          <w:sz w:val="20"/>
          <w:szCs w:val="20"/>
        </w:rPr>
        <w:t xml:space="preserve">[Block Vol]  [File Share]   [Object Bucket]</w:t>
      </w:r>
      <w:r>
        <w:br/>
        <w:t xml:space="preserve"/>
      </w:r>
      <w:r>
        <w:rPr>
          <w:rFonts w:ascii="Consolas" w:cs="Consolas" w:eastAsia="Consolas" w:hAnsi="Consolas"/>
          <w:sz w:val="20"/>
          <w:szCs w:val="20"/>
        </w:rPr>
        <w:t xml:space="preserve"> (VM disks)  (shared docs)   (backups, media)</w:t>
      </w:r>
    </w:p>
    <w:p>
      <w:pPr>
        <w:pStyle w:val="Heading2"/>
        <w:spacing w:after="100" w:before="240"/>
      </w:pPr>
      <w:r>
        <w:rPr>
          <w:b/>
          <w:bCs/>
          <w:color w:val="2E75B6"/>
        </w:rPr>
        <w:t xml:space="preserve">Procedure</w:t>
      </w:r>
    </w:p>
    <w:p>
      <w:pPr>
        <w:pStyle w:val="ListParagraph"/>
        <w:numPr>
          <w:ilvl w:val="0"/>
          <w:numId w:val="2"/>
        </w:numPr>
        <w:spacing w:after="60"/>
      </w:pPr>
      <w:r>
        <w:t xml:space="preserve">Identify the three storage types and their native access protocols (block: iSCSI/Fibre Channel; file: NFS/SMB; object: REST/HTTP APIs like S3).</w:t>
      </w:r>
    </w:p>
    <w:p>
      <w:pPr>
        <w:pStyle w:val="ListParagraph"/>
        <w:numPr>
          <w:ilvl w:val="0"/>
          <w:numId w:val="2"/>
        </w:numPr>
        <w:spacing w:after="60"/>
      </w:pPr>
      <w:r>
        <w:t xml:space="preserve">Provision one sample resource of each type on a cloud provider console (a managed disk, a file share, and a storage bucket).</w:t>
      </w:r>
    </w:p>
    <w:p>
      <w:pPr>
        <w:pStyle w:val="ListParagraph"/>
        <w:numPr>
          <w:ilvl w:val="0"/>
          <w:numId w:val="2"/>
        </w:numPr>
        <w:spacing w:after="60"/>
      </w:pPr>
      <w:r>
        <w:t xml:space="preserve">Record structural properties: unit of storage, metadata support, and maximum practical scale for each type.</w:t>
      </w:r>
    </w:p>
    <w:p>
      <w:pPr>
        <w:pStyle w:val="ListParagraph"/>
        <w:numPr>
          <w:ilvl w:val="0"/>
          <w:numId w:val="2"/>
        </w:numPr>
        <w:spacing w:after="60"/>
      </w:pPr>
      <w:r>
        <w:t xml:space="preserve">Benchmark or reason about latency and throughput characteristics typical of each model.</w:t>
      </w:r>
    </w:p>
    <w:p>
      <w:pPr>
        <w:pStyle w:val="ListParagraph"/>
        <w:numPr>
          <w:ilvl w:val="0"/>
          <w:numId w:val="2"/>
        </w:numPr>
        <w:spacing w:after="60"/>
      </w:pPr>
      <w:r>
        <w:t xml:space="preserve">Map each of the three enterprise scenarios (backups, VM disks, shared documents) to the storage type whose characteristics best fit it.</w:t>
      </w:r>
    </w:p>
    <w:p>
      <w:pPr>
        <w:pStyle w:val="Heading2"/>
        <w:spacing w:after="100" w:before="240"/>
      </w:pPr>
      <w:r>
        <w:rPr>
          <w:b/>
          <w:bCs/>
          <w:color w:val="2E75B6"/>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50"/>
        <w:gridCol w:w="2410"/>
      </w:tblGrid>
      <w:tr>
        <w:trPr>
          <w:tblHeader/>
        </w:trPr>
        <w:tc>
          <w:tcPr>
            <w:tcW w:type="dxa" w:w="2200"/>
            <w:shd w:fill="1F4E79" w:val="clear"/>
          </w:tcPr>
          <w:p>
            <w:r>
              <w:rPr>
                <w:b/>
                <w:bCs/>
                <w:color w:val="FFFFFF"/>
              </w:rPr>
              <w:t xml:space="preserve">Attribute</w:t>
            </w:r>
          </w:p>
        </w:tc>
        <w:tc>
          <w:tcPr>
            <w:tcW w:type="dxa" w:w="2400"/>
            <w:shd w:fill="1F4E79" w:val="clear"/>
          </w:tcPr>
          <w:p>
            <w:r>
              <w:rPr>
                <w:b/>
                <w:bCs/>
                <w:color w:val="FFFFFF"/>
              </w:rPr>
              <w:t xml:space="preserve">Block Storage</w:t>
            </w:r>
          </w:p>
        </w:tc>
        <w:tc>
          <w:tcPr>
            <w:tcW w:type="dxa" w:w="2350"/>
            <w:shd w:fill="1F4E79" w:val="clear"/>
          </w:tcPr>
          <w:p>
            <w:r>
              <w:rPr>
                <w:b/>
                <w:bCs/>
                <w:color w:val="FFFFFF"/>
              </w:rPr>
              <w:t xml:space="preserve">File Storage</w:t>
            </w:r>
          </w:p>
        </w:tc>
        <w:tc>
          <w:tcPr>
            <w:tcW w:type="dxa" w:w="2410"/>
            <w:shd w:fill="1F4E79" w:val="clear"/>
          </w:tcPr>
          <w:p>
            <w:r>
              <w:rPr>
                <w:b/>
                <w:bCs/>
                <w:color w:val="FFFFFF"/>
              </w:rPr>
              <w:t xml:space="preserve">Object Storage</w:t>
            </w:r>
          </w:p>
        </w:tc>
      </w:tr>
      <w:tr>
        <w:tc>
          <w:tcPr>
            <w:tcW w:type="dxa" w:w="2200"/>
            <w:shd w:fill="F2F6FC" w:val="clear"/>
          </w:tcPr>
          <w:p>
            <w:r>
              <w:t xml:space="preserve">Data Unit</w:t>
            </w:r>
          </w:p>
        </w:tc>
        <w:tc>
          <w:tcPr>
            <w:tcW w:type="dxa" w:w="2400"/>
            <w:shd w:fill="F2F6FC" w:val="clear"/>
          </w:tcPr>
          <w:p>
            <w:r>
              <w:t xml:space="preserve">Fixed-size blocks</w:t>
            </w:r>
          </w:p>
        </w:tc>
        <w:tc>
          <w:tcPr>
            <w:tcW w:type="dxa" w:w="2350"/>
            <w:shd w:fill="F2F6FC" w:val="clear"/>
          </w:tcPr>
          <w:p>
            <w:r>
              <w:t xml:space="preserve">Files in folder hierarchy</w:t>
            </w:r>
          </w:p>
        </w:tc>
        <w:tc>
          <w:tcPr>
            <w:tcW w:type="dxa" w:w="2410"/>
            <w:shd w:fill="F2F6FC" w:val="clear"/>
          </w:tcPr>
          <w:p>
            <w:r>
              <w:t xml:space="preserve">Objects with metadata, flat namespace</w:t>
            </w:r>
          </w:p>
        </w:tc>
      </w:tr>
      <w:tr>
        <w:tc>
          <w:tcPr>
            <w:tcW w:type="dxa" w:w="2200"/>
          </w:tcPr>
          <w:p>
            <w:r>
              <w:t xml:space="preserve">Access Protocol</w:t>
            </w:r>
          </w:p>
        </w:tc>
        <w:tc>
          <w:tcPr>
            <w:tcW w:type="dxa" w:w="2400"/>
          </w:tcPr>
          <w:p>
            <w:r>
              <w:t xml:space="preserve">iSCSI / Fibre Channel</w:t>
            </w:r>
          </w:p>
        </w:tc>
        <w:tc>
          <w:tcPr>
            <w:tcW w:type="dxa" w:w="2350"/>
          </w:tcPr>
          <w:p>
            <w:r>
              <w:t xml:space="preserve">NFS / SMB</w:t>
            </w:r>
          </w:p>
        </w:tc>
        <w:tc>
          <w:tcPr>
            <w:tcW w:type="dxa" w:w="2410"/>
          </w:tcPr>
          <w:p>
            <w:r>
              <w:t xml:space="preserve">REST / HTTP API</w:t>
            </w:r>
          </w:p>
        </w:tc>
      </w:tr>
      <w:tr>
        <w:tc>
          <w:tcPr>
            <w:tcW w:type="dxa" w:w="2200"/>
            <w:shd w:fill="F2F6FC" w:val="clear"/>
          </w:tcPr>
          <w:p>
            <w:r>
              <w:t xml:space="preserve">Latency</w:t>
            </w:r>
          </w:p>
        </w:tc>
        <w:tc>
          <w:tcPr>
            <w:tcW w:type="dxa" w:w="2400"/>
            <w:shd w:fill="F2F6FC" w:val="clear"/>
          </w:tcPr>
          <w:p>
            <w:r>
              <w:t xml:space="preserve">Very low</w:t>
            </w:r>
          </w:p>
        </w:tc>
        <w:tc>
          <w:tcPr>
            <w:tcW w:type="dxa" w:w="2350"/>
            <w:shd w:fill="F2F6FC" w:val="clear"/>
          </w:tcPr>
          <w:p>
            <w:r>
              <w:t xml:space="preserve">Low-moderate</w:t>
            </w:r>
          </w:p>
        </w:tc>
        <w:tc>
          <w:tcPr>
            <w:tcW w:type="dxa" w:w="2410"/>
            <w:shd w:fill="F2F6FC" w:val="clear"/>
          </w:tcPr>
          <w:p>
            <w:r>
              <w:t xml:space="preserve">Moderate (higher for cold tiers)</w:t>
            </w:r>
          </w:p>
        </w:tc>
      </w:tr>
      <w:tr>
        <w:tc>
          <w:tcPr>
            <w:tcW w:type="dxa" w:w="2200"/>
          </w:tcPr>
          <w:p>
            <w:r>
              <w:t xml:space="preserve">Scalability</w:t>
            </w:r>
          </w:p>
        </w:tc>
        <w:tc>
          <w:tcPr>
            <w:tcW w:type="dxa" w:w="2400"/>
          </w:tcPr>
          <w:p>
            <w:r>
              <w:t xml:space="preserve">Limited by volume size</w:t>
            </w:r>
          </w:p>
        </w:tc>
        <w:tc>
          <w:tcPr>
            <w:tcW w:type="dxa" w:w="2350"/>
          </w:tcPr>
          <w:p>
            <w:r>
              <w:t xml:space="preserve">Moderate</w:t>
            </w:r>
          </w:p>
        </w:tc>
        <w:tc>
          <w:tcPr>
            <w:tcW w:type="dxa" w:w="2410"/>
          </w:tcPr>
          <w:p>
            <w:r>
              <w:t xml:space="preserve">Virtually unlimited</w:t>
            </w:r>
          </w:p>
        </w:tc>
      </w:tr>
      <w:tr>
        <w:tc>
          <w:tcPr>
            <w:tcW w:type="dxa" w:w="2200"/>
            <w:shd w:fill="F2F6FC" w:val="clear"/>
          </w:tcPr>
          <w:p>
            <w:r>
              <w:t xml:space="preserve">Best For</w:t>
            </w:r>
          </w:p>
        </w:tc>
        <w:tc>
          <w:tcPr>
            <w:tcW w:type="dxa" w:w="2400"/>
            <w:shd w:fill="F2F6FC" w:val="clear"/>
          </w:tcPr>
          <w:p>
            <w:r>
              <w:t xml:space="preserve">Databases, VM disks, transactional I/O</w:t>
            </w:r>
          </w:p>
        </w:tc>
        <w:tc>
          <w:tcPr>
            <w:tcW w:type="dxa" w:w="2350"/>
            <w:shd w:fill="F2F6FC" w:val="clear"/>
          </w:tcPr>
          <w:p>
            <w:r>
              <w:t xml:space="preserve">Shared documents, home directories</w:t>
            </w:r>
          </w:p>
        </w:tc>
        <w:tc>
          <w:tcPr>
            <w:tcW w:type="dxa" w:w="2410"/>
            <w:shd w:fill="F2F6FC" w:val="clear"/>
          </w:tcPr>
          <w:p>
            <w:r>
              <w:t xml:space="preserve">Backups, media, unstructured data, archives</w:t>
            </w:r>
          </w:p>
        </w:tc>
      </w:tr>
      <w:tr>
        <w:tc>
          <w:tcPr>
            <w:tcW w:type="dxa" w:w="2200"/>
          </w:tcPr>
          <w:p>
            <w:r>
              <w:t xml:space="preserve">Cost</w:t>
            </w:r>
          </w:p>
        </w:tc>
        <w:tc>
          <w:tcPr>
            <w:tcW w:type="dxa" w:w="2400"/>
          </w:tcPr>
          <w:p>
            <w:r>
              <w:t xml:space="preserve">Higher per GB</w:t>
            </w:r>
          </w:p>
        </w:tc>
        <w:tc>
          <w:tcPr>
            <w:tcW w:type="dxa" w:w="2350"/>
          </w:tcPr>
          <w:p>
            <w:r>
              <w:t xml:space="preserve">Moderate</w:t>
            </w:r>
          </w:p>
        </w:tc>
        <w:tc>
          <w:tcPr>
            <w:tcW w:type="dxa" w:w="2410"/>
          </w:tcPr>
          <w:p>
            <w:r>
              <w:t xml:space="preserve">Lowest per GB, tiered pricing</w:t>
            </w:r>
          </w:p>
        </w:tc>
      </w:tr>
    </w:tbl>
    <w:p>
      <w:pPr>
        <w:pStyle w:val="Heading2"/>
        <w:spacing w:after="100" w:before="240"/>
      </w:pPr>
      <w:r>
        <w:rPr>
          <w:b/>
          <w:bCs/>
          <w:color w:val="2E75B6"/>
        </w:rPr>
        <w:t xml:space="preserve">Expected Output</w:t>
      </w:r>
    </w:p>
    <w:p>
      <w:pPr>
        <w:spacing w:after="120" w:line="276"/>
      </w:pPr>
      <w:r>
        <w:t xml:space="preserve">A completed comparison table and a clear one-line recommendation per scenario: Backups → Object storage (durable, low-cost, versioned); VM disks → Block storage (low latency, high IOPS); Shared enterprise documents → File storage (native folder/file semantics, concurrent multi-user access via SMB/NFS).</w:t>
      </w:r>
    </w:p>
    <w:p>
      <w:pPr>
        <w:pStyle w:val="Heading2"/>
        <w:spacing w:after="100" w:before="240"/>
      </w:pPr>
      <w:r>
        <w:rPr>
          <w:b/>
          <w:bCs/>
          <w:color w:val="2E75B6"/>
        </w:rPr>
        <w:t xml:space="preserve">Conclusion</w:t>
      </w:r>
    </w:p>
    <w:p>
      <w:pPr>
        <w:spacing w:after="120" w:line="276"/>
      </w:pPr>
      <w:r>
        <w:t xml:space="preserve">No single storage model is universally best; the correct choice depends on access pattern and performance need. Object storage suits large, infrequently modified backup data at the lowest cost; block storage is required wherever an operating system needs raw, low-latency disk access such as VM volumes; and file storage remains the right fit for shared document collaboration because it preserves familiar hierarchical file semantics across multiple simultaneous users.</w:t>
      </w:r>
    </w:p>
    <w:p>
      <w:pPr>
        <w:pStyle w:val="Heading1"/>
        <w:spacing w:after="150" w:before="300"/>
      </w:pPr>
      <w:r>
        <w:rPr>
          <w:b/>
          <w:bCs/>
          <w:color w:val="1F4E79"/>
        </w:rPr>
        <w:t xml:space="preserve">Experiment 2: REST API Workflow for a Cloud-Based Student Portal</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Task: Develop a simple REST API workflow for a cloud-based student portal. Show request, response, authentication, and deployment flow.</w:t>
      </w:r>
    </w:p>
    <w:p>
      <w:pPr>
        <w:pStyle w:val="Heading2"/>
        <w:spacing w:after="100" w:before="240"/>
      </w:pPr>
      <w:r>
        <w:rPr>
          <w:b/>
          <w:bCs/>
          <w:color w:val="2E75B6"/>
        </w:rPr>
        <w:t xml:space="preserve">Objective</w:t>
      </w:r>
    </w:p>
    <w:p>
      <w:pPr>
        <w:spacing w:after="120" w:line="276"/>
      </w:pPr>
      <w:r>
        <w:t xml:space="preserve">To design and demonstrate a REST API workflow that lets a browser-based student portal authenticate a user and retrieve student data securely from a cloud-hosted backend.</w:t>
      </w:r>
    </w:p>
    <w:p>
      <w:pPr>
        <w:pStyle w:val="Heading2"/>
        <w:spacing w:after="100" w:before="240"/>
      </w:pPr>
      <w:r>
        <w:rPr>
          <w:b/>
          <w:bCs/>
          <w:color w:val="2E75B6"/>
        </w:rPr>
        <w:t xml:space="preserve">Architecture Sketch</w:t>
      </w:r>
    </w:p>
    <w:p>
      <w:pPr>
        <w:pBdr>
          <w:top w:val="single" w:color="AAAAAA" w:sz="4"/>
          <w:bottom w:val="single" w:color="AAAAAA" w:sz="4"/>
          <w:left w:val="single" w:color="AAAAAA" w:sz="4"/>
          <w:right w:val="single" w:color="AAAAAA" w:sz="4"/>
        </w:pBdr>
        <w:shd w:fill="F5F5F5" w:val="clear"/>
        <w:spacing w:after="200" w:before="100"/>
      </w:pPr>
      <w:r>
        <w:rPr>
          <w:rFonts w:ascii="Consolas" w:cs="Consolas" w:eastAsia="Consolas" w:hAnsi="Consolas"/>
          <w:sz w:val="20"/>
          <w:szCs w:val="20"/>
        </w:rPr>
        <w:t xml:space="preserve">[Browser Client]</w:t>
      </w:r>
      <w:r>
        <w:br/>
        <w:t xml:space="preserve"/>
      </w:r>
      <w:r>
        <w:rPr>
          <w:rFonts w:ascii="Consolas" w:cs="Consolas" w:eastAsia="Consolas" w:hAnsi="Consolas"/>
          <w:sz w:val="20"/>
          <w:szCs w:val="20"/>
        </w:rPr>
        <w:t xml:space="preserve">     |  1. POST /login (credentials)</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[API Gateway] --auth--&gt; [Auth Service] --issues--&gt; JWT Token</w:t>
      </w:r>
      <w:r>
        <w:br/>
        <w:t xml:space="preserve"/>
      </w:r>
      <w:r>
        <w:rPr>
          <w:rFonts w:ascii="Consolas" w:cs="Consolas" w:eastAsia="Consolas" w:hAnsi="Consolas"/>
          <w:sz w:val="20"/>
          <w:szCs w:val="20"/>
        </w:rPr>
        <w:t xml:space="preserve">     |  2. GET /student/profile  (Header: Bearer &lt;JWT&gt;)</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[Student Service] ---&gt; [Database]</w:t>
      </w:r>
      <w:r>
        <w:br/>
        <w:t xml:space="preserve"/>
      </w:r>
      <w:r>
        <w:rPr>
          <w:rFonts w:ascii="Consolas" w:cs="Consolas" w:eastAsia="Consolas" w:hAnsi="Consolas"/>
          <w:sz w:val="20"/>
          <w:szCs w:val="20"/>
        </w:rPr>
        <w:t xml:space="preserve">     |  3. JSON Response (200 OK)</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[Browser renders profile]</w:t>
      </w:r>
    </w:p>
    <w:p>
      <w:pPr>
        <w:pStyle w:val="Heading2"/>
        <w:spacing w:after="100" w:before="240"/>
      </w:pPr>
      <w:r>
        <w:rPr>
          <w:b/>
          <w:bCs/>
          <w:color w:val="2E75B6"/>
        </w:rPr>
        <w:t xml:space="preserve">Procedure</w:t>
      </w:r>
    </w:p>
    <w:p>
      <w:pPr>
        <w:pStyle w:val="ListParagraph"/>
        <w:numPr>
          <w:ilvl w:val="0"/>
          <w:numId w:val="3"/>
        </w:numPr>
        <w:spacing w:after="60"/>
      </w:pPr>
      <w:r>
        <w:t xml:space="preserve">Define REST endpoints: POST /api/login, GET /api/student/profile, GET /api/student/grades.</w:t>
      </w:r>
    </w:p>
    <w:p>
      <w:pPr>
        <w:pStyle w:val="ListParagraph"/>
        <w:numPr>
          <w:ilvl w:val="0"/>
          <w:numId w:val="3"/>
        </w:numPr>
        <w:spacing w:after="60"/>
      </w:pPr>
      <w:r>
        <w:t xml:space="preserve">Implement authentication using JWT: client sends credentials to /login, server validates and returns a signed token.</w:t>
      </w:r>
    </w:p>
    <w:p>
      <w:pPr>
        <w:pStyle w:val="ListParagraph"/>
        <w:numPr>
          <w:ilvl w:val="0"/>
          <w:numId w:val="3"/>
        </w:numPr>
        <w:spacing w:after="60"/>
      </w:pPr>
      <w:r>
        <w:t xml:space="preserve">Client stores the token and attaches it as an Authorization: Bearer header on subsequent requests.</w:t>
      </w:r>
    </w:p>
    <w:p>
      <w:pPr>
        <w:pStyle w:val="ListParagraph"/>
        <w:numPr>
          <w:ilvl w:val="0"/>
          <w:numId w:val="3"/>
        </w:numPr>
        <w:spacing w:after="60"/>
      </w:pPr>
      <w:r>
        <w:t xml:space="preserve">Backend middleware verifies the token signature and expiry before forwarding the request to the Student Service.</w:t>
      </w:r>
    </w:p>
    <w:p>
      <w:pPr>
        <w:pStyle w:val="ListParagraph"/>
        <w:numPr>
          <w:ilvl w:val="0"/>
          <w:numId w:val="3"/>
        </w:numPr>
        <w:spacing w:after="60"/>
      </w:pPr>
      <w:r>
        <w:t xml:space="preserve">Deploy the API behind a cloud API Gateway with HTTPS enabled, and host the backend as a containerized or serverless service.</w:t>
      </w:r>
    </w:p>
    <w:p>
      <w:pPr>
        <w:pStyle w:val="ListParagraph"/>
        <w:numPr>
          <w:ilvl w:val="0"/>
          <w:numId w:val="3"/>
        </w:numPr>
        <w:spacing w:after="60"/>
      </w:pPr>
      <w:r>
        <w:t xml:space="preserve">Test each endpoint using a REST client to confirm correct status codes and JSON payloads.</w:t>
      </w:r>
    </w:p>
    <w:p>
      <w:pPr>
        <w:pStyle w:val="Heading2"/>
        <w:spacing w:after="100" w:before="240"/>
      </w:pPr>
      <w:r>
        <w:rPr>
          <w:b/>
          <w:bCs/>
          <w:color w:val="2E75B6"/>
        </w:rPr>
        <w:t xml:space="preserve">Sample Request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Pr>
          <w:p>
            <w:r>
              <w:rPr>
                <w:b/>
                <w:bCs/>
                <w:color w:val="FFFFFF"/>
              </w:rPr>
              <w:t xml:space="preserve">Step</w:t>
            </w:r>
          </w:p>
        </w:tc>
        <w:tc>
          <w:tcPr>
            <w:tcW w:type="dxa" w:w="6760"/>
            <w:shd w:fill="1F4E79" w:val="clear"/>
          </w:tcPr>
          <w:p>
            <w:r>
              <w:rPr>
                <w:b/>
                <w:bCs/>
                <w:color w:val="FFFFFF"/>
              </w:rPr>
              <w:t xml:space="preserve">Example</w:t>
            </w:r>
          </w:p>
        </w:tc>
      </w:tr>
      <w:tr>
        <w:tc>
          <w:tcPr>
            <w:tcW w:type="dxa" w:w="2600"/>
            <w:shd w:fill="F2F6FC" w:val="clear"/>
          </w:tcPr>
          <w:p>
            <w:r>
              <w:t xml:space="preserve">Login Request</w:t>
            </w:r>
          </w:p>
        </w:tc>
        <w:tc>
          <w:tcPr>
            <w:tcW w:type="dxa" w:w="6760"/>
            <w:shd w:fill="F2F6FC" w:val="clear"/>
          </w:tcPr>
          <w:p>
            <w:r>
              <w:t xml:space="preserve">POST /api/login  Body: {"regNo":"CS101","password":"***"}</w:t>
            </w:r>
          </w:p>
        </w:tc>
      </w:tr>
      <w:tr>
        <w:tc>
          <w:tcPr>
            <w:tcW w:type="dxa" w:w="2600"/>
          </w:tcPr>
          <w:p>
            <w:r>
              <w:t xml:space="preserve">Login Response</w:t>
            </w:r>
          </w:p>
        </w:tc>
        <w:tc>
          <w:tcPr>
            <w:tcW w:type="dxa" w:w="6760"/>
          </w:tcPr>
          <w:p>
            <w:r>
              <w:t xml:space="preserve">200 OK  Body: {"token":"&lt;JWT&gt;","expiresIn":3600}</w:t>
            </w:r>
          </w:p>
        </w:tc>
      </w:tr>
      <w:tr>
        <w:tc>
          <w:tcPr>
            <w:tcW w:type="dxa" w:w="2600"/>
            <w:shd w:fill="F2F6FC" w:val="clear"/>
          </w:tcPr>
          <w:p>
            <w:r>
              <w:t xml:space="preserve">Profile Request</w:t>
            </w:r>
          </w:p>
        </w:tc>
        <w:tc>
          <w:tcPr>
            <w:tcW w:type="dxa" w:w="6760"/>
            <w:shd w:fill="F2F6FC" w:val="clear"/>
          </w:tcPr>
          <w:p>
            <w:r>
              <w:t xml:space="preserve">GET /api/student/profile  Header: Authorization: Bearer &lt;JWT&gt;</w:t>
            </w:r>
          </w:p>
        </w:tc>
      </w:tr>
      <w:tr>
        <w:tc>
          <w:tcPr>
            <w:tcW w:type="dxa" w:w="2600"/>
          </w:tcPr>
          <w:p>
            <w:r>
              <w:t xml:space="preserve">Profile Response</w:t>
            </w:r>
          </w:p>
        </w:tc>
        <w:tc>
          <w:tcPr>
            <w:tcW w:type="dxa" w:w="6760"/>
          </w:tcPr>
          <w:p>
            <w:r>
              <w:t xml:space="preserve">200 OK  Body: {"name":"...","dept":"...","cgpa":8.4}</w:t>
            </w:r>
          </w:p>
        </w:tc>
      </w:tr>
      <w:tr>
        <w:tc>
          <w:tcPr>
            <w:tcW w:type="dxa" w:w="2600"/>
            <w:shd w:fill="F2F6FC" w:val="clear"/>
          </w:tcPr>
          <w:p>
            <w:r>
              <w:t xml:space="preserve">Unauthorized Case</w:t>
            </w:r>
          </w:p>
        </w:tc>
        <w:tc>
          <w:tcPr>
            <w:tcW w:type="dxa" w:w="6760"/>
            <w:shd w:fill="F2F6FC" w:val="clear"/>
          </w:tcPr>
          <w:p>
            <w:r>
              <w:t xml:space="preserve">401 Unauthorized  Body: {"error":"Invalid or expired token"}</w:t>
            </w:r>
          </w:p>
        </w:tc>
      </w:tr>
    </w:tbl>
    <w:p>
      <w:pPr>
        <w:pStyle w:val="Heading2"/>
        <w:spacing w:after="100" w:before="240"/>
      </w:pPr>
      <w:r>
        <w:rPr>
          <w:b/>
          <w:bCs/>
          <w:color w:val="2E75B6"/>
        </w:rPr>
        <w:t xml:space="preserve">Deployment Flow</w:t>
      </w:r>
    </w:p>
    <w:p>
      <w:pPr>
        <w:pStyle w:val="ListParagraph"/>
        <w:numPr>
          <w:ilvl w:val="0"/>
          <w:numId w:val="4"/>
        </w:numPr>
        <w:spacing w:after="60"/>
      </w:pPr>
      <w:r>
        <w:t xml:space="preserve">Package backend services as containers and push to a container registry.</w:t>
      </w:r>
    </w:p>
    <w:p>
      <w:pPr>
        <w:pStyle w:val="ListParagraph"/>
        <w:numPr>
          <w:ilvl w:val="0"/>
          <w:numId w:val="4"/>
        </w:numPr>
        <w:spacing w:after="60"/>
      </w:pPr>
      <w:r>
        <w:t xml:space="preserve">Deploy via a managed compute service (e.g., Kubernetes/App Service) behind an API Gateway.</w:t>
      </w:r>
    </w:p>
    <w:p>
      <w:pPr>
        <w:pStyle w:val="ListParagraph"/>
        <w:numPr>
          <w:ilvl w:val="0"/>
          <w:numId w:val="4"/>
        </w:numPr>
        <w:spacing w:after="60"/>
      </w:pPr>
      <w:r>
        <w:t xml:space="preserve">Configure HTTPS/TLS termination and CORS rules for the browser client's domain.</w:t>
      </w:r>
    </w:p>
    <w:p>
      <w:pPr>
        <w:pStyle w:val="ListParagraph"/>
        <w:numPr>
          <w:ilvl w:val="0"/>
          <w:numId w:val="4"/>
        </w:numPr>
        <w:spacing w:after="60"/>
      </w:pPr>
      <w:r>
        <w:t xml:space="preserve">Point the browser client's environment configuration at the deployed API base URL.</w:t>
      </w:r>
    </w:p>
    <w:p>
      <w:pPr>
        <w:pStyle w:val="Heading2"/>
        <w:spacing w:after="100" w:before="240"/>
      </w:pPr>
      <w:r>
        <w:rPr>
          <w:b/>
          <w:bCs/>
          <w:color w:val="2E75B6"/>
        </w:rPr>
        <w:t xml:space="preserve">Expected Output</w:t>
      </w:r>
    </w:p>
    <w:p>
      <w:pPr>
        <w:spacing w:after="120" w:line="276"/>
      </w:pPr>
      <w:r>
        <w:t xml:space="preserve">A working request/response cycle where an unauthenticated call to /student/profile returns 401, a valid login returns a token, and a subsequent authenticated call returns the student's profile data as JSON with a 200 status.</w:t>
      </w:r>
    </w:p>
    <w:p>
      <w:pPr>
        <w:pStyle w:val="Heading2"/>
        <w:spacing w:after="100" w:before="240"/>
      </w:pPr>
      <w:r>
        <w:rPr>
          <w:b/>
          <w:bCs/>
          <w:color w:val="2E75B6"/>
        </w:rPr>
        <w:t xml:space="preserve">Conclusion</w:t>
      </w:r>
    </w:p>
    <w:p>
      <w:pPr>
        <w:spacing w:after="120" w:line="276"/>
      </w:pPr>
      <w:r>
        <w:t xml:space="preserve">The experiment demonstrates that a stateless, token-based REST workflow allows a browser client to securely interact with a cloud-hosted backend without the server maintaining session state, which is essential for horizontally scaling the student portal across multiple backend instances.</w:t>
      </w:r>
    </w:p>
    <w:p>
      <w:pPr>
        <w:pStyle w:val="Heading1"/>
        <w:spacing w:after="150" w:before="300"/>
      </w:pPr>
      <w:r>
        <w:rPr>
          <w:b/>
          <w:bCs/>
          <w:color w:val="1F4E79"/>
        </w:rPr>
        <w:t xml:space="preserve">Experiment 3: Serverless Event Flow for Image Upload Processing</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Task: Design a serverless event flow for image upload processing using object storage, function-as-a-service, and notification service.</w:t>
      </w:r>
    </w:p>
    <w:p>
      <w:pPr>
        <w:pStyle w:val="Heading2"/>
        <w:spacing w:after="100" w:before="240"/>
      </w:pPr>
      <w:r>
        <w:rPr>
          <w:b/>
          <w:bCs/>
          <w:color w:val="2E75B6"/>
        </w:rPr>
        <w:t xml:space="preserve">Objective</w:t>
      </w:r>
    </w:p>
    <w:p>
      <w:pPr>
        <w:spacing w:after="120" w:line="276"/>
      </w:pPr>
      <w:r>
        <w:t xml:space="preserve">To design an event-driven, serverless pipeline that automatically processes an image the moment it is uploaded, without provisioning or managing any servers.</w:t>
      </w:r>
    </w:p>
    <w:p>
      <w:pPr>
        <w:pStyle w:val="Heading2"/>
        <w:spacing w:after="100" w:before="240"/>
      </w:pPr>
      <w:r>
        <w:rPr>
          <w:b/>
          <w:bCs/>
          <w:color w:val="2E75B6"/>
        </w:rPr>
        <w:t xml:space="preserve">Architecture Sketch</w:t>
      </w:r>
    </w:p>
    <w:p>
      <w:pPr>
        <w:pBdr>
          <w:top w:val="single" w:color="AAAAAA" w:sz="4"/>
          <w:bottom w:val="single" w:color="AAAAAA" w:sz="4"/>
          <w:left w:val="single" w:color="AAAAAA" w:sz="4"/>
          <w:right w:val="single" w:color="AAAAAA" w:sz="4"/>
        </w:pBdr>
        <w:shd w:fill="F5F5F5" w:val="clear"/>
        <w:spacing w:after="200" w:before="100"/>
      </w:pPr>
      <w:r>
        <w:rPr>
          <w:rFonts w:ascii="Consolas" w:cs="Consolas" w:eastAsia="Consolas" w:hAnsi="Consolas"/>
          <w:sz w:val="20"/>
          <w:szCs w:val="20"/>
        </w:rPr>
        <w:t xml:space="preserve">[User/Client]</w:t>
      </w:r>
      <w:r>
        <w:br/>
        <w:t xml:space="preserve"/>
      </w:r>
      <w:r>
        <w:rPr>
          <w:rFonts w:ascii="Consolas" w:cs="Consolas" w:eastAsia="Consolas" w:hAnsi="Consolas"/>
          <w:sz w:val="20"/>
          <w:szCs w:val="20"/>
        </w:rPr>
        <w:t xml:space="preserve">     | uploads image (pre-signed URL)</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[Object Storage Bucket]  --(ObjectCreated event)--&gt;</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[Function-as-a-Service]  (resize, watermark, thumbnail)</w:t>
      </w:r>
      <w:r>
        <w:br/>
        <w:t xml:space="preserve"/>
      </w:r>
      <w:r>
        <w:rPr>
          <w:rFonts w:ascii="Consolas" w:cs="Consolas" w:eastAsia="Consolas" w:hAnsi="Consolas"/>
          <w:sz w:val="20"/>
          <w:szCs w:val="20"/>
        </w:rPr>
        <w:t xml:space="preserve">     |  writes processed image</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[Processed Bucket / Folder]</w:t>
      </w:r>
      <w:r>
        <w:br/>
        <w:t xml:space="preserve"/>
      </w:r>
      <w:r>
        <w:rPr>
          <w:rFonts w:ascii="Consolas" w:cs="Consolas" w:eastAsia="Consolas" w:hAnsi="Consolas"/>
          <w:sz w:val="20"/>
          <w:szCs w:val="20"/>
        </w:rPr>
        <w:t xml:space="preserve">     |  publishes completion event</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[Notification Service]  --push/email/SMS--&gt;  [User]</w:t>
      </w:r>
    </w:p>
    <w:p>
      <w:pPr>
        <w:pStyle w:val="Heading2"/>
        <w:spacing w:after="100" w:before="240"/>
      </w:pPr>
      <w:r>
        <w:rPr>
          <w:b/>
          <w:bCs/>
          <w:color w:val="2E75B6"/>
        </w:rPr>
        <w:t xml:space="preserve">Procedure</w:t>
      </w:r>
    </w:p>
    <w:p>
      <w:pPr>
        <w:pStyle w:val="ListParagraph"/>
        <w:numPr>
          <w:ilvl w:val="0"/>
          <w:numId w:val="5"/>
        </w:numPr>
        <w:spacing w:after="60"/>
      </w:pPr>
      <w:r>
        <w:t xml:space="preserve">Create an object storage bucket configured to accept direct client uploads via pre-signed URLs.</w:t>
      </w:r>
    </w:p>
    <w:p>
      <w:pPr>
        <w:pStyle w:val="ListParagraph"/>
        <w:numPr>
          <w:ilvl w:val="0"/>
          <w:numId w:val="5"/>
        </w:numPr>
        <w:spacing w:after="60"/>
      </w:pPr>
      <w:r>
        <w:t xml:space="preserve">Configure an event trigger on the bucket for the ObjectCreated event type.</w:t>
      </w:r>
    </w:p>
    <w:p>
      <w:pPr>
        <w:pStyle w:val="ListParagraph"/>
        <w:numPr>
          <w:ilvl w:val="0"/>
          <w:numId w:val="5"/>
        </w:numPr>
        <w:spacing w:after="60"/>
      </w:pPr>
      <w:r>
        <w:t xml:space="preserve">Write a FaaS function (e.g., AWS Lambda / Azure Function) subscribed to that trigger, which performs resizing, format conversion, and thumbnail generation.</w:t>
      </w:r>
    </w:p>
    <w:p>
      <w:pPr>
        <w:pStyle w:val="ListParagraph"/>
        <w:numPr>
          <w:ilvl w:val="0"/>
          <w:numId w:val="5"/>
        </w:numPr>
        <w:spacing w:after="60"/>
      </w:pPr>
      <w:r>
        <w:t xml:space="preserve">Store the processed output in a separate bucket/prefix to avoid re-triggering the same function.</w:t>
      </w:r>
    </w:p>
    <w:p>
      <w:pPr>
        <w:pStyle w:val="ListParagraph"/>
        <w:numPr>
          <w:ilvl w:val="0"/>
          <w:numId w:val="5"/>
        </w:numPr>
        <w:spacing w:after="60"/>
      </w:pPr>
      <w:r>
        <w:t xml:space="preserve">Publish a completion message to a notification service (e.g., SNS / Event Grid) once processing finishes.</w:t>
      </w:r>
    </w:p>
    <w:p>
      <w:pPr>
        <w:pStyle w:val="ListParagraph"/>
        <w:numPr>
          <w:ilvl w:val="0"/>
          <w:numId w:val="5"/>
        </w:numPr>
        <w:spacing w:after="60"/>
      </w:pPr>
      <w:r>
        <w:t xml:space="preserve">Subscribe the end-user's client (via push notification, email, or WebSocket) to receive the completion alert.</w:t>
      </w:r>
    </w:p>
    <w:p>
      <w:pPr>
        <w:pStyle w:val="Heading2"/>
        <w:spacing w:after="100" w:before="240"/>
      </w:pPr>
      <w:r>
        <w:rPr>
          <w:b/>
          <w:bCs/>
          <w:color w:val="2E75B6"/>
        </w:rPr>
        <w:t xml:space="preserve">Expected Output</w:t>
      </w:r>
    </w:p>
    <w:p>
      <w:pPr>
        <w:spacing w:after="120" w:line="276"/>
      </w:pPr>
      <w:r>
        <w:t xml:space="preserve">Within seconds of an image upload, a resized/watermarked version and thumbnail appear in the processed bucket, and the uploading user receives a notification confirming that processing is complete — all without any persistently running server.</w:t>
      </w:r>
    </w:p>
    <w:p>
      <w:pPr>
        <w:pStyle w:val="Heading2"/>
        <w:spacing w:after="100" w:before="240"/>
      </w:pPr>
      <w:r>
        <w:rPr>
          <w:b/>
          <w:bCs/>
          <w:color w:val="2E75B6"/>
        </w:rPr>
        <w:t xml:space="preserve">Conclusion</w:t>
      </w:r>
    </w:p>
    <w:p>
      <w:pPr>
        <w:spacing w:after="120" w:line="276"/>
      </w:pPr>
      <w:r>
        <w:t xml:space="preserve">The serverless event flow shows how object storage events can directly drive compute (FaaS) and messaging (notification service) without intermediate polling or dedicated servers, which minimizes idle cost and scales automatically with upload volume, making it well suited to unpredictable, bursty image-processing workloads.</w:t>
      </w:r>
    </w:p>
    <w:p>
      <w:pPr>
        <w:pStyle w:val="Heading1"/>
        <w:spacing w:after="150" w:before="300"/>
      </w:pPr>
      <w:r>
        <w:rPr>
          <w:b/>
          <w:bCs/>
          <w:color w:val="1F4E79"/>
        </w:rPr>
        <w:t xml:space="preserve">Experiment 4: Edge vs. Fog Computing for Smart Traffic Management</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Task: Compare edge computing and fog computing for a smart traffic management system. Include architecture, latency considerations, and deployment location.</w:t>
      </w:r>
    </w:p>
    <w:p>
      <w:pPr>
        <w:pStyle w:val="Heading2"/>
        <w:spacing w:after="100" w:before="240"/>
      </w:pPr>
      <w:r>
        <w:rPr>
          <w:b/>
          <w:bCs/>
          <w:color w:val="2E75B6"/>
        </w:rPr>
        <w:t xml:space="preserve">Objective</w:t>
      </w:r>
    </w:p>
    <w:p>
      <w:pPr>
        <w:spacing w:after="120" w:line="276"/>
      </w:pPr>
      <w:r>
        <w:t xml:space="preserve">To compare edge and fog computing paradigms for a smart traffic management system and determine where each should be deployed to balance responsiveness with city-wide coordination.</w:t>
      </w:r>
    </w:p>
    <w:p>
      <w:pPr>
        <w:pStyle w:val="Heading2"/>
        <w:spacing w:after="100" w:before="240"/>
      </w:pPr>
      <w:r>
        <w:rPr>
          <w:b/>
          <w:bCs/>
          <w:color w:val="2E75B6"/>
        </w:rPr>
        <w:t xml:space="preserve">Architecture Sketch</w:t>
      </w:r>
    </w:p>
    <w:p>
      <w:pPr>
        <w:pBdr>
          <w:top w:val="single" w:color="AAAAAA" w:sz="4"/>
          <w:bottom w:val="single" w:color="AAAAAA" w:sz="4"/>
          <w:left w:val="single" w:color="AAAAAA" w:sz="4"/>
          <w:right w:val="single" w:color="AAAAAA" w:sz="4"/>
        </w:pBdr>
        <w:shd w:fill="F5F5F5" w:val="clear"/>
        <w:spacing w:after="200" w:before="100"/>
      </w:pPr>
      <w:r>
        <w:rPr>
          <w:rFonts w:ascii="Consolas" w:cs="Consolas" w:eastAsia="Consolas" w:hAnsi="Consolas"/>
          <w:sz w:val="20"/>
          <w:szCs w:val="20"/>
        </w:rPr>
        <w:t xml:space="preserve">[Traffic Sensors / Cameras]  (per intersection)</w:t>
      </w:r>
      <w:r>
        <w:br/>
        <w:t xml:space="preserve"/>
      </w:r>
      <w:r>
        <w:rPr>
          <w:rFonts w:ascii="Consolas" w:cs="Consolas" w:eastAsia="Consolas" w:hAnsi="Consolas"/>
          <w:sz w:val="20"/>
          <w:szCs w:val="20"/>
        </w:rPr>
        <w:t xml:space="preserve">     v  (Edge Layer, on-device compute)</w:t>
      </w:r>
      <w:r>
        <w:br/>
        <w:t xml:space="preserve"/>
      </w:r>
      <w:r>
        <w:rPr>
          <w:rFonts w:ascii="Consolas" w:cs="Consolas" w:eastAsia="Consolas" w:hAnsi="Consolas"/>
          <w:sz w:val="20"/>
          <w:szCs w:val="20"/>
        </w:rPr>
        <w:t xml:space="preserve">[Edge Node]  --local signal control (ms latency)</w:t>
      </w:r>
      <w:r>
        <w:br/>
        <w:t xml:space="preserve"/>
      </w:r>
      <w:r>
        <w:rPr>
          <w:rFonts w:ascii="Consolas" w:cs="Consolas" w:eastAsia="Consolas" w:hAnsi="Consolas"/>
          <w:sz w:val="20"/>
          <w:szCs w:val="20"/>
        </w:rPr>
        <w:t xml:space="preserve">     v  (aggregated data)</w:t>
      </w:r>
      <w:r>
        <w:br/>
        <w:t xml:space="preserve"/>
      </w:r>
      <w:r>
        <w:rPr>
          <w:rFonts w:ascii="Consolas" w:cs="Consolas" w:eastAsia="Consolas" w:hAnsi="Consolas"/>
          <w:sz w:val="20"/>
          <w:szCs w:val="20"/>
        </w:rPr>
        <w:t xml:space="preserve">[Fog Node]  (district gateway, tens of ms latency)</w:t>
      </w:r>
      <w:r>
        <w:br/>
        <w:t xml:space="preserve"/>
      </w:r>
      <w:r>
        <w:rPr>
          <w:rFonts w:ascii="Consolas" w:cs="Consolas" w:eastAsia="Consolas" w:hAnsi="Consolas"/>
          <w:sz w:val="20"/>
          <w:szCs w:val="20"/>
        </w:rPr>
        <w:t xml:space="preserve">  -- coordinates multiple intersections</w:t>
      </w:r>
      <w:r>
        <w:br/>
        <w:t xml:space="preserve"/>
      </w:r>
      <w:r>
        <w:rPr>
          <w:rFonts w:ascii="Consolas" w:cs="Consolas" w:eastAsia="Consolas" w:hAnsi="Consolas"/>
          <w:sz w:val="20"/>
          <w:szCs w:val="20"/>
        </w:rPr>
        <w:t xml:space="preserve">     v  (summarized data)</w:t>
      </w:r>
      <w:r>
        <w:br/>
        <w:t xml:space="preserve"/>
      </w:r>
      <w:r>
        <w:rPr>
          <w:rFonts w:ascii="Consolas" w:cs="Consolas" w:eastAsia="Consolas" w:hAnsi="Consolas"/>
          <w:sz w:val="20"/>
          <w:szCs w:val="20"/>
        </w:rPr>
        <w:t xml:space="preserve">[Cloud]  (city-wide analytics, historical storage, ML training)</w:t>
      </w:r>
    </w:p>
    <w:p>
      <w:pPr>
        <w:pStyle w:val="Heading2"/>
        <w:spacing w:after="100" w:before="240"/>
      </w:pPr>
      <w:r>
        <w:rPr>
          <w:b/>
          <w:bCs/>
          <w:color w:val="2E75B6"/>
        </w:rPr>
        <w:t xml:space="preserve">Procedure</w:t>
      </w:r>
    </w:p>
    <w:p>
      <w:pPr>
        <w:pStyle w:val="ListParagraph"/>
        <w:numPr>
          <w:ilvl w:val="0"/>
          <w:numId w:val="6"/>
        </w:numPr>
        <w:spacing w:after="60"/>
      </w:pPr>
      <w:r>
        <w:t xml:space="preserve">Identify latency-critical decisions in the traffic system (e.g., pedestrian detection, immediate signal change) as candidates for edge deployment.</w:t>
      </w:r>
    </w:p>
    <w:p>
      <w:pPr>
        <w:pStyle w:val="ListParagraph"/>
        <w:numPr>
          <w:ilvl w:val="0"/>
          <w:numId w:val="6"/>
        </w:numPr>
        <w:spacing w:after="60"/>
      </w:pPr>
      <w:r>
        <w:t xml:space="preserve">Identify multi-intersection coordination tasks (e.g., green-wave synchronization) as candidates for fog deployment.</w:t>
      </w:r>
    </w:p>
    <w:p>
      <w:pPr>
        <w:pStyle w:val="ListParagraph"/>
        <w:numPr>
          <w:ilvl w:val="0"/>
          <w:numId w:val="6"/>
        </w:numPr>
        <w:spacing w:after="60"/>
      </w:pPr>
      <w:r>
        <w:t xml:space="preserve">Deploy edge compute modules directly at traffic controller cabinets to process camera/sensor feeds locally.</w:t>
      </w:r>
    </w:p>
    <w:p>
      <w:pPr>
        <w:pStyle w:val="ListParagraph"/>
        <w:numPr>
          <w:ilvl w:val="0"/>
          <w:numId w:val="6"/>
        </w:numPr>
        <w:spacing w:after="60"/>
      </w:pPr>
      <w:r>
        <w:t xml:space="preserve">Deploy fog nodes at a district or zonal level to aggregate edge outputs and coordinate signal timing across a cluster of intersections.</w:t>
      </w:r>
    </w:p>
    <w:p>
      <w:pPr>
        <w:pStyle w:val="ListParagraph"/>
        <w:numPr>
          <w:ilvl w:val="0"/>
          <w:numId w:val="6"/>
        </w:numPr>
        <w:spacing w:after="60"/>
      </w:pPr>
      <w:r>
        <w:t xml:space="preserve">Route only summarized, non-time-critical data from fog nodes up to the cloud for long-term analytics and model retraining.</w:t>
      </w:r>
    </w:p>
    <w:p>
      <w:pPr>
        <w:pStyle w:val="ListParagraph"/>
        <w:numPr>
          <w:ilvl w:val="0"/>
          <w:numId w:val="6"/>
        </w:numPr>
        <w:spacing w:after="60"/>
      </w:pPr>
      <w:r>
        <w:t xml:space="preserve">Measure/estimate round-trip latency at each layer to validate the design meets real-time control requirements.</w:t>
      </w:r>
    </w:p>
    <w:p>
      <w:pPr>
        <w:pStyle w:val="Heading2"/>
        <w:spacing w:after="100" w:before="240"/>
      </w:pPr>
      <w:r>
        <w:rPr>
          <w:b/>
          <w:bCs/>
          <w:color w:val="2E75B6"/>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1F4E79" w:val="clear"/>
          </w:tcPr>
          <w:p>
            <w:r>
              <w:rPr>
                <w:b/>
                <w:bCs/>
                <w:color w:val="FFFFFF"/>
              </w:rPr>
              <w:t xml:space="preserve">Aspect</w:t>
            </w:r>
          </w:p>
        </w:tc>
        <w:tc>
          <w:tcPr>
            <w:tcW w:type="dxa" w:w="3400"/>
            <w:shd w:fill="1F4E79" w:val="clear"/>
          </w:tcPr>
          <w:p>
            <w:r>
              <w:rPr>
                <w:b/>
                <w:bCs/>
                <w:color w:val="FFFFFF"/>
              </w:rPr>
              <w:t xml:space="preserve">Edge Computing</w:t>
            </w:r>
          </w:p>
        </w:tc>
        <w:tc>
          <w:tcPr>
            <w:tcW w:type="dxa" w:w="3460"/>
            <w:shd w:fill="1F4E79" w:val="clear"/>
          </w:tcPr>
          <w:p>
            <w:r>
              <w:rPr>
                <w:b/>
                <w:bCs/>
                <w:color w:val="FFFFFF"/>
              </w:rPr>
              <w:t xml:space="preserve">Fog Computing</w:t>
            </w:r>
          </w:p>
        </w:tc>
      </w:tr>
      <w:tr>
        <w:tc>
          <w:tcPr>
            <w:tcW w:type="dxa" w:w="2500"/>
            <w:shd w:fill="F2F6FC" w:val="clear"/>
          </w:tcPr>
          <w:p>
            <w:r>
              <w:t xml:space="preserve">Deployment Location</w:t>
            </w:r>
          </w:p>
        </w:tc>
        <w:tc>
          <w:tcPr>
            <w:tcW w:type="dxa" w:w="3400"/>
            <w:shd w:fill="F2F6FC" w:val="clear"/>
          </w:tcPr>
          <w:p>
            <w:r>
              <w:t xml:space="preserve">On/near the sensor (traffic controller cabinet)</w:t>
            </w:r>
          </w:p>
        </w:tc>
        <w:tc>
          <w:tcPr>
            <w:tcW w:type="dxa" w:w="3460"/>
            <w:shd w:fill="F2F6FC" w:val="clear"/>
          </w:tcPr>
          <w:p>
            <w:r>
              <w:t xml:space="preserve">District gateway or local micro-data-center</w:t>
            </w:r>
          </w:p>
        </w:tc>
      </w:tr>
      <w:tr>
        <w:tc>
          <w:tcPr>
            <w:tcW w:type="dxa" w:w="2500"/>
          </w:tcPr>
          <w:p>
            <w:r>
              <w:t xml:space="preserve">Latency</w:t>
            </w:r>
          </w:p>
        </w:tc>
        <w:tc>
          <w:tcPr>
            <w:tcW w:type="dxa" w:w="3400"/>
          </w:tcPr>
          <w:p>
            <w:r>
              <w:t xml:space="preserve">Milliseconds</w:t>
            </w:r>
          </w:p>
        </w:tc>
        <w:tc>
          <w:tcPr>
            <w:tcW w:type="dxa" w:w="3460"/>
          </w:tcPr>
          <w:p>
            <w:r>
              <w:t xml:space="preserve">Tens of milliseconds</w:t>
            </w:r>
          </w:p>
        </w:tc>
      </w:tr>
      <w:tr>
        <w:tc>
          <w:tcPr>
            <w:tcW w:type="dxa" w:w="2500"/>
            <w:shd w:fill="F2F6FC" w:val="clear"/>
          </w:tcPr>
          <w:p>
            <w:r>
              <w:t xml:space="preserve">Scope of Decision</w:t>
            </w:r>
          </w:p>
        </w:tc>
        <w:tc>
          <w:tcPr>
            <w:tcW w:type="dxa" w:w="3400"/>
            <w:shd w:fill="F2F6FC" w:val="clear"/>
          </w:tcPr>
          <w:p>
            <w:r>
              <w:t xml:space="preserve">Single intersection</w:t>
            </w:r>
          </w:p>
        </w:tc>
        <w:tc>
          <w:tcPr>
            <w:tcW w:type="dxa" w:w="3460"/>
            <w:shd w:fill="F2F6FC" w:val="clear"/>
          </w:tcPr>
          <w:p>
            <w:r>
              <w:t xml:space="preserve">Cluster of intersections / district</w:t>
            </w:r>
          </w:p>
        </w:tc>
      </w:tr>
      <w:tr>
        <w:tc>
          <w:tcPr>
            <w:tcW w:type="dxa" w:w="2500"/>
          </w:tcPr>
          <w:p>
            <w:r>
              <w:t xml:space="preserve">Compute Capacity</w:t>
            </w:r>
          </w:p>
        </w:tc>
        <w:tc>
          <w:tcPr>
            <w:tcW w:type="dxa" w:w="3400"/>
          </w:tcPr>
          <w:p>
            <w:r>
              <w:t xml:space="preserve">Very limited</w:t>
            </w:r>
          </w:p>
        </w:tc>
        <w:tc>
          <w:tcPr>
            <w:tcW w:type="dxa" w:w="3460"/>
          </w:tcPr>
          <w:p>
            <w:r>
              <w:t xml:space="preserve">Moderate</w:t>
            </w:r>
          </w:p>
        </w:tc>
      </w:tr>
      <w:tr>
        <w:tc>
          <w:tcPr>
            <w:tcW w:type="dxa" w:w="2500"/>
            <w:shd w:fill="F2F6FC" w:val="clear"/>
          </w:tcPr>
          <w:p>
            <w:r>
              <w:t xml:space="preserve">Typical Use</w:t>
            </w:r>
          </w:p>
        </w:tc>
        <w:tc>
          <w:tcPr>
            <w:tcW w:type="dxa" w:w="3400"/>
            <w:shd w:fill="F2F6FC" w:val="clear"/>
          </w:tcPr>
          <w:p>
            <w:r>
              <w:t xml:space="preserve">Immediate signal actuation, pedestrian detection</w:t>
            </w:r>
          </w:p>
        </w:tc>
        <w:tc>
          <w:tcPr>
            <w:tcW w:type="dxa" w:w="3460"/>
            <w:shd w:fill="F2F6FC" w:val="clear"/>
          </w:tcPr>
          <w:p>
            <w:r>
              <w:t xml:space="preserve">Green-wave coordination, zonal traffic balancing</w:t>
            </w:r>
          </w:p>
        </w:tc>
      </w:tr>
    </w:tbl>
    <w:p>
      <w:pPr>
        <w:pStyle w:val="Heading2"/>
        <w:spacing w:after="100" w:before="240"/>
      </w:pPr>
      <w:r>
        <w:rPr>
          <w:b/>
          <w:bCs/>
          <w:color w:val="2E75B6"/>
        </w:rPr>
        <w:t xml:space="preserve">Expected Output</w:t>
      </w:r>
    </w:p>
    <w:p>
      <w:pPr>
        <w:spacing w:after="120" w:line="276"/>
      </w:pPr>
      <w:r>
        <w:t xml:space="preserve">A layered deployment plan showing individual intersections reacting within milliseconds via edge nodes, districts synchronizing signal timing within tens of milliseconds via fog nodes, and the cloud receiving only summarized data for city-wide traffic-pattern analysis.</w:t>
      </w:r>
    </w:p>
    <w:p>
      <w:pPr>
        <w:pStyle w:val="Heading2"/>
        <w:spacing w:after="100" w:before="240"/>
      </w:pPr>
      <w:r>
        <w:rPr>
          <w:b/>
          <w:bCs/>
          <w:color w:val="2E75B6"/>
        </w:rPr>
        <w:t xml:space="preserve">Conclusion</w:t>
      </w:r>
    </w:p>
    <w:p>
      <w:pPr>
        <w:spacing w:after="120" w:line="276"/>
      </w:pPr>
      <w:r>
        <w:t xml:space="preserve">Edge computing is essential wherever a traffic decision cannot tolerate any network round trip, while fog computing is necessary for coordinating decisions across multiple edge nodes that individually lack the visibility to optimize traffic flow at a district level; neither layer alone is sufficient, and the cloud remains necessary for insights that require historical, city-wide data.</w:t>
      </w:r>
    </w:p>
    <w:p>
      <w:pPr>
        <w:pStyle w:val="Heading1"/>
        <w:spacing w:after="150" w:before="300"/>
      </w:pPr>
      <w:r>
        <w:rPr>
          <w:b/>
          <w:bCs/>
          <w:color w:val="1F4E79"/>
        </w:rPr>
        <w:t xml:space="preserve">Experiment 5: Cloud Application Deployment Workflow</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Task: Demonstrate a cloud application deployment workflow showing client access, browser interaction, web API call, storage access, and monitoring.</w:t>
      </w:r>
    </w:p>
    <w:p>
      <w:pPr>
        <w:pStyle w:val="Heading2"/>
        <w:spacing w:after="100" w:before="240"/>
      </w:pPr>
      <w:r>
        <w:rPr>
          <w:b/>
          <w:bCs/>
          <w:color w:val="2E75B6"/>
        </w:rPr>
        <w:t xml:space="preserve">Objective</w:t>
      </w:r>
    </w:p>
    <w:p>
      <w:pPr>
        <w:spacing w:after="120" w:line="276"/>
      </w:pPr>
      <w:r>
        <w:t xml:space="preserve">To demonstrate the end-to-end workflow of a deployed cloud application, from a user's browser interaction through API invocation, storage access, and back-end monitoring.</w:t>
      </w:r>
    </w:p>
    <w:p>
      <w:pPr>
        <w:pStyle w:val="Heading2"/>
        <w:spacing w:after="100" w:before="240"/>
      </w:pPr>
      <w:r>
        <w:rPr>
          <w:b/>
          <w:bCs/>
          <w:color w:val="2E75B6"/>
        </w:rPr>
        <w:t xml:space="preserve">Architecture Sketch</w:t>
      </w:r>
    </w:p>
    <w:p>
      <w:pPr>
        <w:pBdr>
          <w:top w:val="single" w:color="AAAAAA" w:sz="4"/>
          <w:bottom w:val="single" w:color="AAAAAA" w:sz="4"/>
          <w:left w:val="single" w:color="AAAAAA" w:sz="4"/>
          <w:right w:val="single" w:color="AAAAAA" w:sz="4"/>
        </w:pBdr>
        <w:shd w:fill="F5F5F5" w:val="clear"/>
        <w:spacing w:after="200" w:before="100"/>
      </w:pPr>
      <w:r>
        <w:rPr>
          <w:rFonts w:ascii="Consolas" w:cs="Consolas" w:eastAsia="Consolas" w:hAnsi="Consolas"/>
          <w:sz w:val="20"/>
          <w:szCs w:val="20"/>
        </w:rPr>
        <w:t xml:space="preserve">[User]</w:t>
      </w:r>
      <w:r>
        <w:br/>
        <w:t xml:space="preserve"/>
      </w:r>
      <w:r>
        <w:rPr>
          <w:rFonts w:ascii="Consolas" w:cs="Consolas" w:eastAsia="Consolas" w:hAnsi="Consolas"/>
          <w:sz w:val="20"/>
          <w:szCs w:val="20"/>
        </w:rPr>
        <w:t xml:space="preserve">  v opens URL</w:t>
      </w:r>
      <w:r>
        <w:br/>
        <w:t xml:space="preserve"/>
      </w:r>
      <w:r>
        <w:rPr>
          <w:rFonts w:ascii="Consolas" w:cs="Consolas" w:eastAsia="Consolas" w:hAnsi="Consolas"/>
          <w:sz w:val="20"/>
          <w:szCs w:val="20"/>
        </w:rPr>
        <w:t xml:space="preserve">[Browser Client] --HTTPS--&gt; [Load Balancer]</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                          [Web API / App Service]</w:t>
      </w:r>
      <w:r>
        <w:br/>
        <w:t xml:space="preserve"/>
      </w:r>
      <w:r>
        <w:rPr>
          <w:rFonts w:ascii="Consolas" w:cs="Consolas" w:eastAsia="Consolas" w:hAnsi="Consolas"/>
          <w:sz w:val="20"/>
          <w:szCs w:val="20"/>
        </w:rPr>
        <w:t xml:space="preserve">                            |            |</w:t>
      </w:r>
      <w:r>
        <w:br/>
        <w:t xml:space="preserve"/>
      </w:r>
      <w:r>
        <w:rPr>
          <w:rFonts w:ascii="Consolas" w:cs="Consolas" w:eastAsia="Consolas" w:hAnsi="Consolas"/>
          <w:sz w:val="20"/>
          <w:szCs w:val="20"/>
        </w:rPr>
        <w:t xml:space="preserve">                     [Database]   [Object Storage]</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                          [Monitoring &amp; Logging]</w:t>
      </w:r>
      <w:r>
        <w:br/>
        <w:t xml:space="preserve"/>
      </w:r>
      <w:r>
        <w:rPr>
          <w:rFonts w:ascii="Consolas" w:cs="Consolas" w:eastAsia="Consolas" w:hAnsi="Consolas"/>
          <w:sz w:val="20"/>
          <w:szCs w:val="20"/>
        </w:rPr>
        <w:t xml:space="preserve">                          (metrics, alerts, dashboards)</w:t>
      </w:r>
    </w:p>
    <w:p>
      <w:pPr>
        <w:pStyle w:val="Heading2"/>
        <w:spacing w:after="100" w:before="240"/>
      </w:pPr>
      <w:r>
        <w:rPr>
          <w:b/>
          <w:bCs/>
          <w:color w:val="2E75B6"/>
        </w:rPr>
        <w:t xml:space="preserve">Procedure</w:t>
      </w:r>
    </w:p>
    <w:p>
      <w:pPr>
        <w:pStyle w:val="ListParagraph"/>
        <w:numPr>
          <w:ilvl w:val="0"/>
          <w:numId w:val="7"/>
        </w:numPr>
        <w:spacing w:after="60"/>
      </w:pPr>
      <w:r>
        <w:t xml:space="preserve">User navigates to the application URL; the browser loads the client-side application over HTTPS.</w:t>
      </w:r>
    </w:p>
    <w:p>
      <w:pPr>
        <w:pStyle w:val="ListParagraph"/>
        <w:numPr>
          <w:ilvl w:val="0"/>
          <w:numId w:val="7"/>
        </w:numPr>
        <w:spacing w:after="60"/>
      </w:pPr>
      <w:r>
        <w:t xml:space="preserve">The browser makes an authenticated REST API call to the deployed backend through a load balancer.</w:t>
      </w:r>
    </w:p>
    <w:p>
      <w:pPr>
        <w:pStyle w:val="ListParagraph"/>
        <w:numPr>
          <w:ilvl w:val="0"/>
          <w:numId w:val="7"/>
        </w:numPr>
        <w:spacing w:after="60"/>
      </w:pPr>
      <w:r>
        <w:t xml:space="preserve">The Web API service processes the request, reading/writing structured data to a managed database.</w:t>
      </w:r>
    </w:p>
    <w:p>
      <w:pPr>
        <w:pStyle w:val="ListParagraph"/>
        <w:numPr>
          <w:ilvl w:val="0"/>
          <w:numId w:val="7"/>
        </w:numPr>
        <w:spacing w:after="60"/>
      </w:pPr>
      <w:r>
        <w:t xml:space="preserve">For file-related operations, the API generates a pre-signed URL so the browser can upload/download directly from object storage.</w:t>
      </w:r>
    </w:p>
    <w:p>
      <w:pPr>
        <w:pStyle w:val="ListParagraph"/>
        <w:numPr>
          <w:ilvl w:val="0"/>
          <w:numId w:val="7"/>
        </w:numPr>
        <w:spacing w:after="60"/>
      </w:pPr>
      <w:r>
        <w:t xml:space="preserve">Application and infrastructure metrics (CPU, request latency, error rate) are continuously sent to a monitoring service.</w:t>
      </w:r>
    </w:p>
    <w:p>
      <w:pPr>
        <w:pStyle w:val="ListParagraph"/>
        <w:numPr>
          <w:ilvl w:val="0"/>
          <w:numId w:val="7"/>
        </w:numPr>
        <w:spacing w:after="60"/>
      </w:pPr>
      <w:r>
        <w:t xml:space="preserve">Alerts are configured on the monitoring dashboard to notify the operations team of anomalies (e.g., high error rate, latency spikes).</w:t>
      </w:r>
    </w:p>
    <w:p>
      <w:pPr>
        <w:pStyle w:val="Heading2"/>
        <w:spacing w:after="100" w:before="240"/>
      </w:pPr>
      <w:r>
        <w:rPr>
          <w:b/>
          <w:bCs/>
          <w:color w:val="2E75B6"/>
        </w:rPr>
        <w:t xml:space="preserve">Workflow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shd w:fill="1F4E79" w:val="clear"/>
          </w:tcPr>
          <w:p>
            <w:r>
              <w:rPr>
                <w:b/>
                <w:bCs/>
                <w:color w:val="FFFFFF"/>
              </w:rPr>
              <w:t xml:space="preserve">Stage</w:t>
            </w:r>
          </w:p>
        </w:tc>
        <w:tc>
          <w:tcPr>
            <w:tcW w:type="dxa" w:w="2800"/>
            <w:shd w:fill="1F4E79" w:val="clear"/>
          </w:tcPr>
          <w:p>
            <w:r>
              <w:rPr>
                <w:b/>
                <w:bCs/>
                <w:color w:val="FFFFFF"/>
              </w:rPr>
              <w:t xml:space="preserve">Component</w:t>
            </w:r>
          </w:p>
        </w:tc>
        <w:tc>
          <w:tcPr>
            <w:tcW w:type="dxa" w:w="5160"/>
            <w:shd w:fill="1F4E79" w:val="clear"/>
          </w:tcPr>
          <w:p>
            <w:r>
              <w:rPr>
                <w:b/>
                <w:bCs/>
                <w:color w:val="FFFFFF"/>
              </w:rPr>
              <w:t xml:space="preserve">Action</w:t>
            </w:r>
          </w:p>
        </w:tc>
      </w:tr>
      <w:tr>
        <w:tc>
          <w:tcPr>
            <w:tcW w:type="dxa" w:w="1400"/>
            <w:shd w:fill="F2F6FC" w:val="clear"/>
          </w:tcPr>
          <w:p>
            <w:r>
              <w:t xml:space="preserve">1</w:t>
            </w:r>
          </w:p>
        </w:tc>
        <w:tc>
          <w:tcPr>
            <w:tcW w:type="dxa" w:w="2800"/>
            <w:shd w:fill="F2F6FC" w:val="clear"/>
          </w:tcPr>
          <w:p>
            <w:r>
              <w:t xml:space="preserve">Browser Client</w:t>
            </w:r>
          </w:p>
        </w:tc>
        <w:tc>
          <w:tcPr>
            <w:tcW w:type="dxa" w:w="5160"/>
            <w:shd w:fill="F2F6FC" w:val="clear"/>
          </w:tcPr>
          <w:p>
            <w:r>
              <w:t xml:space="preserve">Loads UI, initiates HTTPS session</w:t>
            </w:r>
          </w:p>
        </w:tc>
      </w:tr>
      <w:tr>
        <w:tc>
          <w:tcPr>
            <w:tcW w:type="dxa" w:w="1400"/>
          </w:tcPr>
          <w:p>
            <w:r>
              <w:t xml:space="preserve">2</w:t>
            </w:r>
          </w:p>
        </w:tc>
        <w:tc>
          <w:tcPr>
            <w:tcW w:type="dxa" w:w="2800"/>
          </w:tcPr>
          <w:p>
            <w:r>
              <w:t xml:space="preserve">Load Balancer</w:t>
            </w:r>
          </w:p>
        </w:tc>
        <w:tc>
          <w:tcPr>
            <w:tcW w:type="dxa" w:w="5160"/>
          </w:tcPr>
          <w:p>
            <w:r>
              <w:t xml:space="preserve">Distributes requests across app instances</w:t>
            </w:r>
          </w:p>
        </w:tc>
      </w:tr>
      <w:tr>
        <w:tc>
          <w:tcPr>
            <w:tcW w:type="dxa" w:w="1400"/>
            <w:shd w:fill="F2F6FC" w:val="clear"/>
          </w:tcPr>
          <w:p>
            <w:r>
              <w:t xml:space="preserve">3</w:t>
            </w:r>
          </w:p>
        </w:tc>
        <w:tc>
          <w:tcPr>
            <w:tcW w:type="dxa" w:w="2800"/>
            <w:shd w:fill="F2F6FC" w:val="clear"/>
          </w:tcPr>
          <w:p>
            <w:r>
              <w:t xml:space="preserve">Web API</w:t>
            </w:r>
          </w:p>
        </w:tc>
        <w:tc>
          <w:tcPr>
            <w:tcW w:type="dxa" w:w="5160"/>
            <w:shd w:fill="F2F6FC" w:val="clear"/>
          </w:tcPr>
          <w:p>
            <w:r>
              <w:t xml:space="preserve">Processes business logic, calls database</w:t>
            </w:r>
          </w:p>
        </w:tc>
      </w:tr>
      <w:tr>
        <w:tc>
          <w:tcPr>
            <w:tcW w:type="dxa" w:w="1400"/>
          </w:tcPr>
          <w:p>
            <w:r>
              <w:t xml:space="preserve">4</w:t>
            </w:r>
          </w:p>
        </w:tc>
        <w:tc>
          <w:tcPr>
            <w:tcW w:type="dxa" w:w="2800"/>
          </w:tcPr>
          <w:p>
            <w:r>
              <w:t xml:space="preserve">Object Storage</w:t>
            </w:r>
          </w:p>
        </w:tc>
        <w:tc>
          <w:tcPr>
            <w:tcW w:type="dxa" w:w="5160"/>
          </w:tcPr>
          <w:p>
            <w:r>
              <w:t xml:space="preserve">Handles file upload/download via pre-signed URLs</w:t>
            </w:r>
          </w:p>
        </w:tc>
      </w:tr>
      <w:tr>
        <w:tc>
          <w:tcPr>
            <w:tcW w:type="dxa" w:w="1400"/>
            <w:shd w:fill="F2F6FC" w:val="clear"/>
          </w:tcPr>
          <w:p>
            <w:r>
              <w:t xml:space="preserve">5</w:t>
            </w:r>
          </w:p>
        </w:tc>
        <w:tc>
          <w:tcPr>
            <w:tcW w:type="dxa" w:w="2800"/>
            <w:shd w:fill="F2F6FC" w:val="clear"/>
          </w:tcPr>
          <w:p>
            <w:r>
              <w:t xml:space="preserve">Monitoring</w:t>
            </w:r>
          </w:p>
        </w:tc>
        <w:tc>
          <w:tcPr>
            <w:tcW w:type="dxa" w:w="5160"/>
            <w:shd w:fill="F2F6FC" w:val="clear"/>
          </w:tcPr>
          <w:p>
            <w:r>
              <w:t xml:space="preserve">Collects logs/metrics, raises alerts</w:t>
            </w:r>
          </w:p>
        </w:tc>
      </w:tr>
    </w:tbl>
    <w:p>
      <w:pPr>
        <w:pStyle w:val="Heading2"/>
        <w:spacing w:after="100" w:before="240"/>
      </w:pPr>
      <w:r>
        <w:rPr>
          <w:b/>
          <w:bCs/>
          <w:color w:val="2E75B6"/>
        </w:rPr>
        <w:t xml:space="preserve">Expected Output</w:t>
      </w:r>
    </w:p>
    <w:p>
      <w:pPr>
        <w:spacing w:after="120" w:line="276"/>
      </w:pPr>
      <w:r>
        <w:t xml:space="preserve">A successful end-to-end trace showing the browser loading the app, an API call returning valid data, a file successfully stored/retrieved from object storage, and corresponding request/latency metrics visible on the monitoring dashboard.</w:t>
      </w:r>
    </w:p>
    <w:p>
      <w:pPr>
        <w:pStyle w:val="Heading2"/>
        <w:spacing w:after="100" w:before="240"/>
      </w:pPr>
      <w:r>
        <w:rPr>
          <w:b/>
          <w:bCs/>
          <w:color w:val="2E75B6"/>
        </w:rPr>
        <w:t xml:space="preserve">Conclusion</w:t>
      </w:r>
    </w:p>
    <w:p>
      <w:pPr>
        <w:spacing w:after="120" w:line="276"/>
      </w:pPr>
      <w:r>
        <w:t xml:space="preserve">The demonstration confirms that a cloud application deployment is a coordinated chain of client, compute, storage, and observability components, and that monitoring is not optional — it is what allows operators to confirm the other four stages are actually functioning correctly in production.</w:t>
      </w:r>
    </w:p>
    <w:p>
      <w:pPr>
        <w:pBdr>
          <w:top w:val="single" w:color="AAAAAA" w:sz="4"/>
        </w:pBdr>
        <w:spacing w:before="400"/>
      </w:pPr>
      <w:r>
        <w:rPr>
          <w:i/>
          <w:iCs/>
          <w:color w:val="777777"/>
          <w:sz w:val="18"/>
          <w:szCs w:val="18"/>
        </w:rPr>
        <w:t xml:space="preserve">Prepared as a model answer set for CSA15 — Assessment Tool 1 (Experiments), CO3.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2026-08-13T17:53:54.681Z</dcterms:created>
  <dcterms:modified xsi:type="dcterms:W3CDTF">2026-08-13T17:53:54.682Z</dcterms:modified>
</cp:coreProperties>
</file>

<file path=docProps/custom.xml><?xml version="1.0" encoding="utf-8"?>
<Properties xmlns="http://schemas.openxmlformats.org/officeDocument/2006/custom-properties" xmlns:vt="http://schemas.openxmlformats.org/officeDocument/2006/docPropsVTypes"/>
</file>