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SIMATS ENGINEERING</w:t>
      </w:r>
    </w:p>
    <w:p>
      <w:pPr>
        <w:spacing w:after="60"/>
        <w:jc w:val="center"/>
      </w:pPr>
      <w:r>
        <w:rPr>
          <w:b/>
          <w:bCs/>
          <w:sz w:val="26"/>
          <w:szCs w:val="26"/>
        </w:rPr>
        <w:t xml:space="preserve">Assessment Tool 2: Case Study — Answers</w:t>
      </w:r>
    </w:p>
    <w:p>
      <w:pPr>
        <w:spacing w:after="300"/>
        <w:jc w:val="center"/>
      </w:pPr>
      <w:r>
        <w:rPr>
          <w:i/>
          <w:iCs/>
          <w:color w:val="555555"/>
          <w:sz w:val="20"/>
          <w:szCs w:val="20"/>
        </w:rPr>
        <w:t xml:space="preserve">Course: Cloud Computing and Big Data Analytics (CSA15)  |  CO3</w:t>
      </w:r>
    </w:p>
    <w:p>
      <w:pPr>
        <w:pStyle w:val="Heading1"/>
        <w:spacing w:after="150" w:before="300"/>
      </w:pPr>
      <w:r>
        <w:rPr>
          <w:b/>
          <w:bCs/>
          <w:color w:val="1F4E79"/>
        </w:rPr>
        <w:t xml:space="preserve">Case 1: Cloud-Native Backend for a Food Delivery Company</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Question: A food delivery company wants to deploy a cloud-native backend with web APIs, browser clients, and shared cloud storage for receipts and delivery images. Propose the architecture and explain the role of each component.</w:t>
      </w:r>
    </w:p>
    <w:p>
      <w:pPr>
        <w:pStyle w:val="Heading2"/>
        <w:spacing w:after="100" w:before="240"/>
      </w:pPr>
      <w:r>
        <w:rPr>
          <w:b/>
          <w:bCs/>
          <w:color w:val="2E75B6"/>
        </w:rPr>
        <w:t xml:space="preserve">1. Understanding the Case</w:t>
      </w:r>
    </w:p>
    <w:p>
      <w:pPr>
        <w:spacing w:after="120" w:line="276"/>
      </w:pPr>
      <w:r>
        <w:t xml:space="preserve">The platform must serve three types of users — customers, delivery agents, and restaurant partners — through browser and mobile clients, process orders and payments reliably, and durably store unstructured artifacts such as receipts and delivery-proof images. Requirements therefore span compute elasticity (demand spikes at meal times), API-driven integration, and low-cost, highly durable object storage.</w:t>
      </w:r>
    </w:p>
    <w:p>
      <w:pPr>
        <w:pStyle w:val="Heading2"/>
        <w:spacing w:after="100" w:before="240"/>
      </w:pPr>
      <w:r>
        <w:rPr>
          <w:b/>
          <w:bCs/>
          <w:color w:val="2E75B6"/>
        </w:rPr>
        <w:t xml:space="preserve">2. Proposed Architecture</w:t>
      </w:r>
    </w:p>
    <w:p>
      <w:pPr>
        <w:spacing w:after="120" w:line="276"/>
      </w:pPr>
      <w:r>
        <w:t xml:space="preserve">A layered, cloud-native architecture is recommended:</w:t>
      </w:r>
    </w:p>
    <w:p>
      <w:pPr>
        <w:pStyle w:val="ListParagraph"/>
        <w:numPr>
          <w:ilvl w:val="0"/>
          <w:numId w:val="2"/>
        </w:numPr>
        <w:spacing w:after="60"/>
      </w:pPr>
      <w:r>
        <w:t xml:space="preserve">Client Layer: Browser (React/Angular SPA) and mobile apps communicate only over HTTPS with the backend, never touching storage or databases directly.</w:t>
      </w:r>
    </w:p>
    <w:p>
      <w:pPr>
        <w:pStyle w:val="ListParagraph"/>
        <w:numPr>
          <w:ilvl w:val="0"/>
          <w:numId w:val="2"/>
        </w:numPr>
        <w:spacing w:after="60"/>
      </w:pPr>
      <w:r>
        <w:t xml:space="preserve">API Gateway Layer: A managed API Gateway (e.g., Amazon API Gateway / Azure API Management) exposes RESTful web APIs, handles authentication (OAuth2/JWT), rate limiting, and routes requests to backend services.</w:t>
      </w:r>
    </w:p>
    <w:p>
      <w:pPr>
        <w:pStyle w:val="ListParagraph"/>
        <w:numPr>
          <w:ilvl w:val="0"/>
          <w:numId w:val="2"/>
        </w:numPr>
        <w:spacing w:after="60"/>
      </w:pPr>
      <w:r>
        <w:t xml:space="preserve">Compute Layer: Containerized microservices (Order Service, Payment Service, Delivery-Tracking Service, Notification Service) run on a managed container platform (Kubernetes/ECS) or serverless functions for bursty workloads such as receipt generation.</w:t>
      </w:r>
    </w:p>
    <w:p>
      <w:pPr>
        <w:pStyle w:val="ListParagraph"/>
        <w:numPr>
          <w:ilvl w:val="0"/>
          <w:numId w:val="2"/>
        </w:numPr>
        <w:spacing w:after="60"/>
      </w:pPr>
      <w:r>
        <w:t xml:space="preserve">Data Layer: A managed relational database (orders, users, transactions) paired with a NoSQL store for high-velocity delivery-location updates.</w:t>
      </w:r>
    </w:p>
    <w:p>
      <w:pPr>
        <w:pStyle w:val="ListParagraph"/>
        <w:numPr>
          <w:ilvl w:val="0"/>
          <w:numId w:val="2"/>
        </w:numPr>
        <w:spacing w:after="60"/>
      </w:pPr>
      <w:r>
        <w:t xml:space="preserve">Shared Cloud Storage: Object storage (Amazon S3 / Azure Blob) holds receipts (PDFs) and delivery-proof images, accessed via pre-signed URLs so clients upload/download directly without routing large files through application servers.</w:t>
      </w:r>
    </w:p>
    <w:p>
      <w:pPr>
        <w:pStyle w:val="ListParagraph"/>
        <w:numPr>
          <w:ilvl w:val="0"/>
          <w:numId w:val="2"/>
        </w:numPr>
        <w:spacing w:after="60"/>
      </w:pPr>
      <w:r>
        <w:t xml:space="preserve">CDN Layer: A content delivery network caches images and static assets close to users, reducing latency and backend load.</w:t>
      </w:r>
    </w:p>
    <w:p>
      <w:pPr>
        <w:pStyle w:val="ListParagraph"/>
        <w:numPr>
          <w:ilvl w:val="0"/>
          <w:numId w:val="2"/>
        </w:numPr>
        <w:spacing w:after="60"/>
      </w:pPr>
      <w:r>
        <w:t xml:space="preserve">Monitoring &amp; Security: Centralized logging, IAM roles scoped per service, and encryption at rest/in transit for all stored receipts and images.</w:t>
      </w:r>
    </w:p>
    <w:p>
      <w:pPr>
        <w:pStyle w:val="Heading2"/>
        <w:spacing w:after="100" w:before="240"/>
      </w:pPr>
      <w:r>
        <w:rPr>
          <w:b/>
          <w:bCs/>
          <w:color w:val="2E75B6"/>
        </w:rPr>
        <w:t xml:space="preserve">3. Role of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Pr>
          <w:p>
            <w:r>
              <w:rPr>
                <w:b/>
                <w:bCs/>
                <w:color w:val="FFFFFF"/>
              </w:rPr>
              <w:t xml:space="preserve">Component</w:t>
            </w:r>
          </w:p>
        </w:tc>
        <w:tc>
          <w:tcPr>
            <w:tcW w:type="dxa" w:w="6160"/>
            <w:shd w:fill="1F4E79" w:val="clear"/>
          </w:tcPr>
          <w:p>
            <w:r>
              <w:rPr>
                <w:b/>
                <w:bCs/>
                <w:color w:val="FFFFFF"/>
              </w:rPr>
              <w:t xml:space="preserve">Role</w:t>
            </w:r>
          </w:p>
        </w:tc>
      </w:tr>
      <w:tr>
        <w:tc>
          <w:tcPr>
            <w:tcW w:type="dxa" w:w="3200"/>
            <w:shd w:fill="F2F6FC" w:val="clear"/>
          </w:tcPr>
          <w:p>
            <w:r>
              <w:t xml:space="preserve">Browser/Mobile Client</w:t>
            </w:r>
          </w:p>
        </w:tc>
        <w:tc>
          <w:tcPr>
            <w:tcW w:type="dxa" w:w="6160"/>
            <w:shd w:fill="F2F6FC" w:val="clear"/>
          </w:tcPr>
          <w:p>
            <w:r>
              <w:t xml:space="preserve">Presents UI, calls web APIs, uploads images via pre-signed URLs</w:t>
            </w:r>
          </w:p>
        </w:tc>
      </w:tr>
      <w:tr>
        <w:tc>
          <w:tcPr>
            <w:tcW w:type="dxa" w:w="3200"/>
          </w:tcPr>
          <w:p>
            <w:r>
              <w:t xml:space="preserve">API Gateway</w:t>
            </w:r>
          </w:p>
        </w:tc>
        <w:tc>
          <w:tcPr>
            <w:tcW w:type="dxa" w:w="6160"/>
          </w:tcPr>
          <w:p>
            <w:r>
              <w:t xml:space="preserve">Single entry point; authentication, throttling, routing</w:t>
            </w:r>
          </w:p>
        </w:tc>
      </w:tr>
      <w:tr>
        <w:tc>
          <w:tcPr>
            <w:tcW w:type="dxa" w:w="3200"/>
            <w:shd w:fill="F2F6FC" w:val="clear"/>
          </w:tcPr>
          <w:p>
            <w:r>
              <w:t xml:space="preserve">Microservices (Compute)</w:t>
            </w:r>
          </w:p>
        </w:tc>
        <w:tc>
          <w:tcPr>
            <w:tcW w:type="dxa" w:w="6160"/>
            <w:shd w:fill="F2F6FC" w:val="clear"/>
          </w:tcPr>
          <w:p>
            <w:r>
              <w:t xml:space="preserve">Business logic for orders, payments, delivery tracking</w:t>
            </w:r>
          </w:p>
        </w:tc>
      </w:tr>
      <w:tr>
        <w:tc>
          <w:tcPr>
            <w:tcW w:type="dxa" w:w="3200"/>
          </w:tcPr>
          <w:p>
            <w:r>
              <w:t xml:space="preserve">Relational DB</w:t>
            </w:r>
          </w:p>
        </w:tc>
        <w:tc>
          <w:tcPr>
            <w:tcW w:type="dxa" w:w="6160"/>
          </w:tcPr>
          <w:p>
            <w:r>
              <w:t xml:space="preserve">Structured, transactional data (orders, users, payments)</w:t>
            </w:r>
          </w:p>
        </w:tc>
      </w:tr>
      <w:tr>
        <w:tc>
          <w:tcPr>
            <w:tcW w:type="dxa" w:w="3200"/>
            <w:shd w:fill="F2F6FC" w:val="clear"/>
          </w:tcPr>
          <w:p>
            <w:r>
              <w:t xml:space="preserve">NoSQL Store</w:t>
            </w:r>
          </w:p>
        </w:tc>
        <w:tc>
          <w:tcPr>
            <w:tcW w:type="dxa" w:w="6160"/>
            <w:shd w:fill="F2F6FC" w:val="clear"/>
          </w:tcPr>
          <w:p>
            <w:r>
              <w:t xml:space="preserve">High-frequency delivery location and status updates</w:t>
            </w:r>
          </w:p>
        </w:tc>
      </w:tr>
      <w:tr>
        <w:tc>
          <w:tcPr>
            <w:tcW w:type="dxa" w:w="3200"/>
          </w:tcPr>
          <w:p>
            <w:r>
              <w:t xml:space="preserve">Object Storage</w:t>
            </w:r>
          </w:p>
        </w:tc>
        <w:tc>
          <w:tcPr>
            <w:tcW w:type="dxa" w:w="6160"/>
          </w:tcPr>
          <w:p>
            <w:r>
              <w:t xml:space="preserve">Durable, scalable storage for receipts and images shared across services</w:t>
            </w:r>
          </w:p>
        </w:tc>
      </w:tr>
      <w:tr>
        <w:tc>
          <w:tcPr>
            <w:tcW w:type="dxa" w:w="3200"/>
            <w:shd w:fill="F2F6FC" w:val="clear"/>
          </w:tcPr>
          <w:p>
            <w:r>
              <w:t xml:space="preserve">CDN</w:t>
            </w:r>
          </w:p>
        </w:tc>
        <w:tc>
          <w:tcPr>
            <w:tcW w:type="dxa" w:w="6160"/>
            <w:shd w:fill="F2F6FC" w:val="clear"/>
          </w:tcPr>
          <w:p>
            <w:r>
              <w:t xml:space="preserve">Fast, cached delivery of images and static content</w:t>
            </w:r>
          </w:p>
        </w:tc>
      </w:tr>
      <w:tr>
        <w:tc>
          <w:tcPr>
            <w:tcW w:type="dxa" w:w="3200"/>
          </w:tcPr>
          <w:p>
            <w:r>
              <w:t xml:space="preserve">IAM / Security</w:t>
            </w:r>
          </w:p>
        </w:tc>
        <w:tc>
          <w:tcPr>
            <w:tcW w:type="dxa" w:w="6160"/>
          </w:tcPr>
          <w:p>
            <w:r>
              <w:t xml:space="preserve">Access control and encryption for stored data</w:t>
            </w:r>
          </w:p>
        </w:tc>
      </w:tr>
    </w:tbl>
    <w:p>
      <w:pPr>
        <w:pStyle w:val="Heading2"/>
        <w:spacing w:after="100" w:before="240"/>
      </w:pPr>
      <w:r>
        <w:rPr>
          <w:b/>
          <w:bCs/>
          <w:color w:val="2E75B6"/>
        </w:rPr>
        <w:t xml:space="preserve">4. Justification</w:t>
      </w:r>
    </w:p>
    <w:p>
      <w:pPr>
        <w:spacing w:after="120" w:line="276"/>
      </w:pPr>
      <w:r>
        <w:t xml:space="preserve">This architecture decouples compute from storage, allowing each to scale independently: order volume can spike without affecting storage throughput, and object storage scales automatically as receipt/image volume grows. Using pre-signed URLs avoids funneling large binary uploads through application servers, cutting cost and latency. The API Gateway centralizes security and observability, which is essential when multiple client types (web, mobile, partner integrations) consume the same backend.</w:t>
      </w:r>
    </w:p>
    <w:p>
      <w:pPr>
        <w:pStyle w:val="Heading1"/>
        <w:spacing w:after="150" w:before="300"/>
      </w:pPr>
      <w:r>
        <w:rPr>
          <w:b/>
          <w:bCs/>
          <w:color w:val="1F4E79"/>
        </w:rPr>
        <w:t xml:space="preserve">Case 2: Storage and Processing Strategy for a Media Startup</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Question: A media startup must decide between SAN-backed storage, object storage, and serverless processing for video upload workflows. Analyze the case and recommend a deployment model.</w:t>
      </w:r>
    </w:p>
    <w:p>
      <w:pPr>
        <w:pStyle w:val="Heading2"/>
        <w:spacing w:after="100" w:before="240"/>
      </w:pPr>
      <w:r>
        <w:rPr>
          <w:b/>
          <w:bCs/>
          <w:color w:val="2E75B6"/>
        </w:rPr>
        <w:t xml:space="preserve">1. Understanding the Case</w:t>
      </w:r>
    </w:p>
    <w:p>
      <w:pPr>
        <w:spacing w:after="120" w:line="276"/>
      </w:pPr>
      <w:r>
        <w:t xml:space="preserve">The startup ingests large, frequently growing volumes of user- or creator-uploaded video, must transcode/process these files into multiple formats, and needs a cost-efficient, scalable storage backend. The three candidate approaches — SAN-backed block storage, object storage, and serverless processing — must be evaluated against scalability, cost, latency, and operational overhead.</w:t>
      </w:r>
    </w:p>
    <w:p>
      <w:pPr>
        <w:pStyle w:val="Heading2"/>
        <w:spacing w:after="100" w:before="240"/>
      </w:pPr>
      <w:r>
        <w:rPr>
          <w:b/>
          <w:bCs/>
          <w:color w:val="2E75B6"/>
        </w:rPr>
        <w:t xml:space="preserve">2.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shd w:fill="1F4E79" w:val="clear"/>
          </w:tcPr>
          <w:p>
            <w:r>
              <w:rPr>
                <w:b/>
                <w:bCs/>
                <w:color w:val="FFFFFF"/>
              </w:rPr>
              <w:t xml:space="preserve">Criterion</w:t>
            </w:r>
          </w:p>
        </w:tc>
        <w:tc>
          <w:tcPr>
            <w:tcW w:type="dxa" w:w="2400"/>
            <w:shd w:fill="1F4E79" w:val="clear"/>
          </w:tcPr>
          <w:p>
            <w:r>
              <w:rPr>
                <w:b/>
                <w:bCs/>
                <w:color w:val="FFFFFF"/>
              </w:rPr>
              <w:t xml:space="preserve">SAN-Backed Storage</w:t>
            </w:r>
          </w:p>
        </w:tc>
        <w:tc>
          <w:tcPr>
            <w:tcW w:type="dxa" w:w="2400"/>
            <w:shd w:fill="1F4E79" w:val="clear"/>
          </w:tcPr>
          <w:p>
            <w:r>
              <w:rPr>
                <w:b/>
                <w:bCs/>
                <w:color w:val="FFFFFF"/>
              </w:rPr>
              <w:t xml:space="preserve">Object Storage</w:t>
            </w:r>
          </w:p>
        </w:tc>
        <w:tc>
          <w:tcPr>
            <w:tcW w:type="dxa" w:w="2460"/>
            <w:shd w:fill="1F4E79" w:val="clear"/>
          </w:tcPr>
          <w:p>
            <w:r>
              <w:rPr>
                <w:b/>
                <w:bCs/>
                <w:color w:val="FFFFFF"/>
              </w:rPr>
              <w:t xml:space="preserve">Serverless Processing</w:t>
            </w:r>
          </w:p>
        </w:tc>
      </w:tr>
      <w:tr>
        <w:tc>
          <w:tcPr>
            <w:tcW w:type="dxa" w:w="2100"/>
            <w:shd w:fill="F2F6FC" w:val="clear"/>
          </w:tcPr>
          <w:p>
            <w:r>
              <w:t xml:space="preserve">Scalability</w:t>
            </w:r>
          </w:p>
        </w:tc>
        <w:tc>
          <w:tcPr>
            <w:tcW w:type="dxa" w:w="2400"/>
            <w:shd w:fill="F2F6FC" w:val="clear"/>
          </w:tcPr>
          <w:p>
            <w:r>
              <w:t xml:space="preserve">Limited; scales in fixed capacity increments</w:t>
            </w:r>
          </w:p>
        </w:tc>
        <w:tc>
          <w:tcPr>
            <w:tcW w:type="dxa" w:w="2400"/>
            <w:shd w:fill="F2F6FC" w:val="clear"/>
          </w:tcPr>
          <w:p>
            <w:r>
              <w:t xml:space="preserve">Virtually unlimited, elastic</w:t>
            </w:r>
          </w:p>
        </w:tc>
        <w:tc>
          <w:tcPr>
            <w:tcW w:type="dxa" w:w="2460"/>
            <w:shd w:fill="F2F6FC" w:val="clear"/>
          </w:tcPr>
          <w:p>
            <w:r>
              <w:t xml:space="preserve">Auto-scales with request volume</w:t>
            </w:r>
          </w:p>
        </w:tc>
      </w:tr>
      <w:tr>
        <w:tc>
          <w:tcPr>
            <w:tcW w:type="dxa" w:w="2100"/>
          </w:tcPr>
          <w:p>
            <w:r>
              <w:t xml:space="preserve">Cost Model</w:t>
            </w:r>
          </w:p>
        </w:tc>
        <w:tc>
          <w:tcPr>
            <w:tcW w:type="dxa" w:w="2400"/>
          </w:tcPr>
          <w:p>
            <w:r>
              <w:t xml:space="preserve">High CapEx; fixed infrastructure cost</w:t>
            </w:r>
          </w:p>
        </w:tc>
        <w:tc>
          <w:tcPr>
            <w:tcW w:type="dxa" w:w="2400"/>
          </w:tcPr>
          <w:p>
            <w:r>
              <w:t xml:space="preserve">Pay-per-GB, low-cost tiers for cold data</w:t>
            </w:r>
          </w:p>
        </w:tc>
        <w:tc>
          <w:tcPr>
            <w:tcW w:type="dxa" w:w="2460"/>
          </w:tcPr>
          <w:p>
            <w:r>
              <w:t xml:space="preserve">Pay-per-execution, no idle cost</w:t>
            </w:r>
          </w:p>
        </w:tc>
      </w:tr>
      <w:tr>
        <w:tc>
          <w:tcPr>
            <w:tcW w:type="dxa" w:w="2100"/>
            <w:shd w:fill="F2F6FC" w:val="clear"/>
          </w:tcPr>
          <w:p>
            <w:r>
              <w:t xml:space="preserve">Access Pattern</w:t>
            </w:r>
          </w:p>
        </w:tc>
        <w:tc>
          <w:tcPr>
            <w:tcW w:type="dxa" w:w="2400"/>
            <w:shd w:fill="F2F6FC" w:val="clear"/>
          </w:tcPr>
          <w:p>
            <w:r>
              <w:t xml:space="preserve">Best for low-latency block I/O (databases)</w:t>
            </w:r>
          </w:p>
        </w:tc>
        <w:tc>
          <w:tcPr>
            <w:tcW w:type="dxa" w:w="2400"/>
            <w:shd w:fill="F2F6FC" w:val="clear"/>
          </w:tcPr>
          <w:p>
            <w:r>
              <w:t xml:space="preserve">Best for large unstructured files (video)</w:t>
            </w:r>
          </w:p>
        </w:tc>
        <w:tc>
          <w:tcPr>
            <w:tcW w:type="dxa" w:w="2460"/>
            <w:shd w:fill="F2F6FC" w:val="clear"/>
          </w:tcPr>
          <w:p>
            <w:r>
              <w:t xml:space="preserve">Best for event-driven, short-lived tasks</w:t>
            </w:r>
          </w:p>
        </w:tc>
      </w:tr>
      <w:tr>
        <w:tc>
          <w:tcPr>
            <w:tcW w:type="dxa" w:w="2100"/>
          </w:tcPr>
          <w:p>
            <w:r>
              <w:t xml:space="preserve">Operational Overhead</w:t>
            </w:r>
          </w:p>
        </w:tc>
        <w:tc>
          <w:tcPr>
            <w:tcW w:type="dxa" w:w="2400"/>
          </w:tcPr>
          <w:p>
            <w:r>
              <w:t xml:space="preserve">High — requires dedicated storage admins</w:t>
            </w:r>
          </w:p>
        </w:tc>
        <w:tc>
          <w:tcPr>
            <w:tcW w:type="dxa" w:w="2400"/>
          </w:tcPr>
          <w:p>
            <w:r>
              <w:t xml:space="preserve">Low — fully managed by provider</w:t>
            </w:r>
          </w:p>
        </w:tc>
        <w:tc>
          <w:tcPr>
            <w:tcW w:type="dxa" w:w="2460"/>
          </w:tcPr>
          <w:p>
            <w:r>
              <w:t xml:space="preserve">Very low — no server management</w:t>
            </w:r>
          </w:p>
        </w:tc>
      </w:tr>
      <w:tr>
        <w:tc>
          <w:tcPr>
            <w:tcW w:type="dxa" w:w="2100"/>
            <w:shd w:fill="F2F6FC" w:val="clear"/>
          </w:tcPr>
          <w:p>
            <w:r>
              <w:t xml:space="preserve">Fit for Video Uploads</w:t>
            </w:r>
          </w:p>
        </w:tc>
        <w:tc>
          <w:tcPr>
            <w:tcW w:type="dxa" w:w="2400"/>
            <w:shd w:fill="F2F6FC" w:val="clear"/>
          </w:tcPr>
          <w:p>
            <w:r>
              <w:t xml:space="preserve">Poor fit; over-provisioned for streaming media</w:t>
            </w:r>
          </w:p>
        </w:tc>
        <w:tc>
          <w:tcPr>
            <w:tcW w:type="dxa" w:w="2400"/>
            <w:shd w:fill="F2F6FC" w:val="clear"/>
          </w:tcPr>
          <w:p>
            <w:r>
              <w:t xml:space="preserve">Strong fit; natively suited to large media objects</w:t>
            </w:r>
          </w:p>
        </w:tc>
        <w:tc>
          <w:tcPr>
            <w:tcW w:type="dxa" w:w="2460"/>
            <w:shd w:fill="F2F6FC" w:val="clear"/>
          </w:tcPr>
          <w:p>
            <w:r>
              <w:t xml:space="preserve">Strong fit for triggering transcoding on upload</w:t>
            </w:r>
          </w:p>
        </w:tc>
      </w:tr>
    </w:tbl>
    <w:p>
      <w:pPr>
        <w:pStyle w:val="Heading2"/>
        <w:spacing w:after="100" w:before="240"/>
      </w:pPr>
      <w:r>
        <w:rPr>
          <w:b/>
          <w:bCs/>
          <w:color w:val="2E75B6"/>
        </w:rPr>
        <w:t xml:space="preserve">3. Recommended Deployment Model</w:t>
      </w:r>
    </w:p>
    <w:p>
      <w:pPr>
        <w:spacing w:after="120" w:line="276"/>
      </w:pPr>
      <w:r>
        <w:t xml:space="preserve">A hybrid, cloud-native model combining object storage with serverless processing is recommended over SAN-backed storage:</w:t>
      </w:r>
    </w:p>
    <w:p>
      <w:pPr>
        <w:pStyle w:val="ListParagraph"/>
        <w:numPr>
          <w:ilvl w:val="0"/>
          <w:numId w:val="2"/>
        </w:numPr>
        <w:spacing w:after="60"/>
      </w:pPr>
      <w:r>
        <w:t xml:space="preserve">Raw video uploads land directly in an object storage bucket (e.g., S3/Blob) via pre-signed URLs, avoiding server bottlenecks.</w:t>
      </w:r>
    </w:p>
    <w:p>
      <w:pPr>
        <w:pStyle w:val="ListParagraph"/>
        <w:numPr>
          <w:ilvl w:val="0"/>
          <w:numId w:val="2"/>
        </w:numPr>
        <w:spacing w:after="60"/>
      </w:pPr>
      <w:r>
        <w:t xml:space="preserve">An upload event triggers a serverless function (AWS Lambda / Azure Functions) that invokes a transcoding pipeline (e.g., Elastic Transcoder / Media Services) to generate multiple resolutions/formats.</w:t>
      </w:r>
    </w:p>
    <w:p>
      <w:pPr>
        <w:pStyle w:val="ListParagraph"/>
        <w:numPr>
          <w:ilvl w:val="0"/>
          <w:numId w:val="2"/>
        </w:numPr>
        <w:spacing w:after="60"/>
      </w:pPr>
      <w:r>
        <w:t xml:space="preserve">Processed outputs are written back to object storage in tiered classes: frequently streamed content in standard tier, archival footage in cold/infrequent-access tiers.</w:t>
      </w:r>
    </w:p>
    <w:p>
      <w:pPr>
        <w:pStyle w:val="ListParagraph"/>
        <w:numPr>
          <w:ilvl w:val="0"/>
          <w:numId w:val="2"/>
        </w:numPr>
        <w:spacing w:after="60"/>
      </w:pPr>
      <w:r>
        <w:t xml:space="preserve">A CDN fronts the object storage for low-latency global video delivery.</w:t>
      </w:r>
    </w:p>
    <w:p>
      <w:pPr>
        <w:pStyle w:val="ListParagraph"/>
        <w:numPr>
          <w:ilvl w:val="0"/>
          <w:numId w:val="2"/>
        </w:numPr>
        <w:spacing w:after="60"/>
      </w:pPr>
      <w:r>
        <w:t xml:space="preserve">SAN-backed storage is reserved only for latency-sensitive transactional databases (e.g., user accounts, metadata indexes), not for the video assets themselves.</w:t>
      </w:r>
    </w:p>
    <w:p>
      <w:pPr>
        <w:pStyle w:val="Heading2"/>
        <w:spacing w:after="100" w:before="240"/>
      </w:pPr>
      <w:r>
        <w:rPr>
          <w:b/>
          <w:bCs/>
          <w:color w:val="2E75B6"/>
        </w:rPr>
        <w:t xml:space="preserve">4. Justification (Trade-off Reasoning)</w:t>
      </w:r>
    </w:p>
    <w:p>
      <w:pPr>
        <w:spacing w:after="120" w:line="276"/>
      </w:pPr>
      <w:r>
        <w:t xml:space="preserve">SAN storage offers predictable low-latency I/O but is capital-intensive and does not scale elastically with unpredictable upload spikes typical of a growing media startup — making it a poor fit for bulk video storage. Object storage provides near-infinite scalability, high durability (often 99.999999999%), and a pay-as-you-go model well suited to large, infrequently modified files like video. Serverless processing eliminates the need to provision transcoding servers that would otherwise sit idle between uploads, directly reducing cost while automatically scaling to handle traffic bursts. The trade-off is slightly higher per-request latency for serverless cold starts and less fine-grained control than a dedicated SAN, but for a startup optimizing for cost, agility, and scale, object storage plus serverless is the stronger choice.</w:t>
      </w:r>
    </w:p>
    <w:p>
      <w:pPr>
        <w:pStyle w:val="Heading1"/>
        <w:spacing w:after="150" w:before="300"/>
      </w:pPr>
      <w:r>
        <w:rPr>
          <w:b/>
          <w:bCs/>
          <w:color w:val="1F4E79"/>
        </w:rPr>
        <w:t xml:space="preserve">Case 3: Edge and Fog Computing for a Smart City Platform</w:t>
      </w:r>
    </w:p>
    <w:p>
      <w:pPr>
        <w:pBdr>
          <w:top w:val="single" w:color="2E75B6" w:sz="6"/>
          <w:bottom w:val="single" w:color="2E75B6" w:sz="6"/>
          <w:left w:val="single" w:color="2E75B6" w:sz="6"/>
          <w:right w:val="single" w:color="2E75B6" w:sz="6"/>
        </w:pBdr>
        <w:shd w:fill="EAF1FB" w:val="clear"/>
        <w:spacing w:after="150" w:before="200"/>
      </w:pPr>
      <w:r>
        <w:rPr>
          <w:b/>
          <w:bCs/>
          <w:i/>
          <w:iCs/>
        </w:rPr>
        <w:t xml:space="preserve">Question: A smart city platform needs low-latency decision making near sensors while still using the cloud for analytics. Analyze the use of edge computing and fog computing in this environment.</w:t>
      </w:r>
    </w:p>
    <w:p>
      <w:pPr>
        <w:pStyle w:val="Heading2"/>
        <w:spacing w:after="100" w:before="240"/>
      </w:pPr>
      <w:r>
        <w:rPr>
          <w:b/>
          <w:bCs/>
          <w:color w:val="2E75B6"/>
        </w:rPr>
        <w:t xml:space="preserve">1. Understanding the Case</w:t>
      </w:r>
    </w:p>
    <w:p>
      <w:pPr>
        <w:spacing w:after="120" w:line="276"/>
      </w:pPr>
      <w:r>
        <w:t xml:space="preserve">Smart city deployments (traffic signals, surveillance, air-quality sensors, streetlights) generate continuous high-volume sensor data. Some decisions — such as adjusting a traffic light or triggering an emergency alert — require millisecond-level responses that cannot tolerate a round trip to a centralized cloud data center. At the same time, city-wide trend analysis, long-term planning, and machine-learning model training benefit from the elastic compute and storage available in the cloud.</w:t>
      </w:r>
    </w:p>
    <w:p>
      <w:pPr>
        <w:pStyle w:val="Heading2"/>
        <w:spacing w:after="100" w:before="240"/>
      </w:pPr>
      <w:r>
        <w:rPr>
          <w:b/>
          <w:bCs/>
          <w:color w:val="2E75B6"/>
        </w:rPr>
        <w:t xml:space="preserve">2. Role of Edge Computing</w:t>
      </w:r>
    </w:p>
    <w:p>
      <w:pPr>
        <w:spacing w:after="120" w:line="276"/>
      </w:pPr>
      <w:r>
        <w:t xml:space="preserve">Edge computing places processing directly on or very near the sensors/devices themselves (e.g., a smart traffic controller or camera with onboard compute).</w:t>
      </w:r>
    </w:p>
    <w:p>
      <w:pPr>
        <w:pStyle w:val="ListParagraph"/>
        <w:numPr>
          <w:ilvl w:val="0"/>
          <w:numId w:val="2"/>
        </w:numPr>
        <w:spacing w:after="60"/>
      </w:pPr>
      <w:r>
        <w:t xml:space="preserve">Performs immediate, local decision-making — e.g., detecting a pedestrian and adjusting signal timing instantly.</w:t>
      </w:r>
    </w:p>
    <w:p>
      <w:pPr>
        <w:pStyle w:val="ListParagraph"/>
        <w:numPr>
          <w:ilvl w:val="0"/>
          <w:numId w:val="2"/>
        </w:numPr>
        <w:spacing w:after="60"/>
      </w:pPr>
      <w:r>
        <w:t xml:space="preserve">Reduces bandwidth usage by filtering and pre-processing raw sensor streams before transmission.</w:t>
      </w:r>
    </w:p>
    <w:p>
      <w:pPr>
        <w:pStyle w:val="ListParagraph"/>
        <w:numPr>
          <w:ilvl w:val="0"/>
          <w:numId w:val="2"/>
        </w:numPr>
        <w:spacing w:after="60"/>
      </w:pPr>
      <w:r>
        <w:t xml:space="preserve">Operates even during intermittent network connectivity, improving resilience.</w:t>
      </w:r>
    </w:p>
    <w:p>
      <w:pPr>
        <w:pStyle w:val="Heading2"/>
        <w:spacing w:after="100" w:before="240"/>
      </w:pPr>
      <w:r>
        <w:rPr>
          <w:b/>
          <w:bCs/>
          <w:color w:val="2E75B6"/>
        </w:rPr>
        <w:t xml:space="preserve">3. Role of Fog Computing</w:t>
      </w:r>
    </w:p>
    <w:p>
      <w:pPr>
        <w:spacing w:after="120" w:line="276"/>
      </w:pPr>
      <w:r>
        <w:t xml:space="preserve">Fog computing introduces an intermediate layer — typically local gateways or micro-data-centers at the neighborhood or district level — that aggregates data from many edge nodes before deciding what to send onward.</w:t>
      </w:r>
    </w:p>
    <w:p>
      <w:pPr>
        <w:pStyle w:val="ListParagraph"/>
        <w:numPr>
          <w:ilvl w:val="0"/>
          <w:numId w:val="2"/>
        </w:numPr>
        <w:spacing w:after="60"/>
      </w:pPr>
      <w:r>
        <w:t xml:space="preserve">Aggregates and correlates data across multiple intersections or sensor clusters for area-level decisions (e.g., coordinating a green-wave across several traffic lights).</w:t>
      </w:r>
    </w:p>
    <w:p>
      <w:pPr>
        <w:pStyle w:val="ListParagraph"/>
        <w:numPr>
          <w:ilvl w:val="0"/>
          <w:numId w:val="2"/>
        </w:numPr>
        <w:spacing w:after="60"/>
      </w:pPr>
      <w:r>
        <w:t xml:space="preserve">Performs short-term analytics and buffering, reducing the volume of data pushed to the cloud.</w:t>
      </w:r>
    </w:p>
    <w:p>
      <w:pPr>
        <w:pStyle w:val="ListParagraph"/>
        <w:numPr>
          <w:ilvl w:val="0"/>
          <w:numId w:val="2"/>
        </w:numPr>
        <w:spacing w:after="60"/>
      </w:pPr>
      <w:r>
        <w:t xml:space="preserve">Bridges the latency gap between edge devices and the centralized cloud, offering faster response than the cloud but broader context than a single edge node.</w:t>
      </w:r>
    </w:p>
    <w:p>
      <w:pPr>
        <w:pStyle w:val="Heading2"/>
        <w:spacing w:after="100" w:before="240"/>
      </w:pPr>
      <w:r>
        <w:rPr>
          <w:b/>
          <w:bCs/>
          <w:color w:val="2E75B6"/>
        </w:rPr>
        <w:t xml:space="preserve">4. Role of the Cloud</w:t>
      </w:r>
    </w:p>
    <w:p>
      <w:pPr>
        <w:pStyle w:val="ListParagraph"/>
        <w:numPr>
          <w:ilvl w:val="0"/>
          <w:numId w:val="2"/>
        </w:numPr>
        <w:spacing w:after="60"/>
      </w:pPr>
      <w:r>
        <w:t xml:space="preserve">Stores historical, city-wide data for long-term trend analysis and reporting.</w:t>
      </w:r>
    </w:p>
    <w:p>
      <w:pPr>
        <w:pStyle w:val="ListParagraph"/>
        <w:numPr>
          <w:ilvl w:val="0"/>
          <w:numId w:val="2"/>
        </w:numPr>
        <w:spacing w:after="60"/>
      </w:pPr>
      <w:r>
        <w:t xml:space="preserve">Trains and refines machine-learning models (e.g., traffic prediction), which are then pushed back down to edge/fog nodes for inference.</w:t>
      </w:r>
    </w:p>
    <w:p>
      <w:pPr>
        <w:pStyle w:val="ListParagraph"/>
        <w:numPr>
          <w:ilvl w:val="0"/>
          <w:numId w:val="2"/>
        </w:numPr>
        <w:spacing w:after="60"/>
      </w:pPr>
      <w:r>
        <w:t xml:space="preserve">Provides dashboards, cross-department analytics, and integration with other municipal systems.</w:t>
      </w:r>
    </w:p>
    <w:p>
      <w:pPr>
        <w:pStyle w:val="Heading2"/>
        <w:spacing w:after="100" w:before="240"/>
      </w:pPr>
      <w:r>
        <w:rPr>
          <w:b/>
          <w:bCs/>
          <w:color w:val="2E75B6"/>
        </w:rPr>
        <w:t xml:space="preserve">5. Recommended Layered Architecture</w:t>
      </w:r>
    </w:p>
    <w:p>
      <w:pPr>
        <w:spacing w:after="120" w:line="276"/>
      </w:pPr>
      <w:r>
        <w:t xml:space="preserve">Sensors/IoT Devices → Edge Nodes (local, sub-second decisions) → Fog Nodes (district-level aggregation and near-real-time analytics) → Cloud (city-wide analytics, storage, model training). Only summarized or exception data flows upward from fog to cloud, while control commands and trained models flow back down.</w:t>
      </w:r>
    </w:p>
    <w:p>
      <w:pPr>
        <w:pStyle w:val="Heading2"/>
        <w:spacing w:after="100" w:before="240"/>
      </w:pPr>
      <w:r>
        <w:rPr>
          <w:b/>
          <w:bCs/>
          <w:color w:val="2E75B6"/>
        </w:rPr>
        <w:t xml:space="preserve">6. Trade-off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shd w:fill="1F4E79" w:val="clear"/>
          </w:tcPr>
          <w:p>
            <w:r>
              <w:rPr>
                <w:b/>
                <w:bCs/>
                <w:color w:val="FFFFFF"/>
              </w:rPr>
              <w:t xml:space="preserve">Layer</w:t>
            </w:r>
          </w:p>
        </w:tc>
        <w:tc>
          <w:tcPr>
            <w:tcW w:type="dxa" w:w="2300"/>
            <w:shd w:fill="1F4E79" w:val="clear"/>
          </w:tcPr>
          <w:p>
            <w:r>
              <w:rPr>
                <w:b/>
                <w:bCs/>
                <w:color w:val="FFFFFF"/>
              </w:rPr>
              <w:t xml:space="preserve">Latency</w:t>
            </w:r>
          </w:p>
        </w:tc>
        <w:tc>
          <w:tcPr>
            <w:tcW w:type="dxa" w:w="2300"/>
            <w:shd w:fill="1F4E79" w:val="clear"/>
          </w:tcPr>
          <w:p>
            <w:r>
              <w:rPr>
                <w:b/>
                <w:bCs/>
                <w:color w:val="FFFFFF"/>
              </w:rPr>
              <w:t xml:space="preserve">Compute Scale</w:t>
            </w:r>
          </w:p>
        </w:tc>
        <w:tc>
          <w:tcPr>
            <w:tcW w:type="dxa" w:w="2460"/>
            <w:shd w:fill="1F4E79" w:val="clear"/>
          </w:tcPr>
          <w:p>
            <w:r>
              <w:rPr>
                <w:b/>
                <w:bCs/>
                <w:color w:val="FFFFFF"/>
              </w:rPr>
              <w:t xml:space="preserve">Best Suited For</w:t>
            </w:r>
          </w:p>
        </w:tc>
      </w:tr>
      <w:tr>
        <w:tc>
          <w:tcPr>
            <w:tcW w:type="dxa" w:w="2300"/>
            <w:shd w:fill="F2F6FC" w:val="clear"/>
          </w:tcPr>
          <w:p>
            <w:r>
              <w:t xml:space="preserve">Edge</w:t>
            </w:r>
          </w:p>
        </w:tc>
        <w:tc>
          <w:tcPr>
            <w:tcW w:type="dxa" w:w="2300"/>
            <w:shd w:fill="F2F6FC" w:val="clear"/>
          </w:tcPr>
          <w:p>
            <w:r>
              <w:t xml:space="preserve">Milliseconds</w:t>
            </w:r>
          </w:p>
        </w:tc>
        <w:tc>
          <w:tcPr>
            <w:tcW w:type="dxa" w:w="2300"/>
            <w:shd w:fill="F2F6FC" w:val="clear"/>
          </w:tcPr>
          <w:p>
            <w:r>
              <w:t xml:space="preserve">Very limited</w:t>
            </w:r>
          </w:p>
        </w:tc>
        <w:tc>
          <w:tcPr>
            <w:tcW w:type="dxa" w:w="2460"/>
            <w:shd w:fill="F2F6FC" w:val="clear"/>
          </w:tcPr>
          <w:p>
            <w:r>
              <w:t xml:space="preserve">Immediate local actuation and safety-critical response</w:t>
            </w:r>
          </w:p>
        </w:tc>
      </w:tr>
      <w:tr>
        <w:tc>
          <w:tcPr>
            <w:tcW w:type="dxa" w:w="2300"/>
          </w:tcPr>
          <w:p>
            <w:r>
              <w:t xml:space="preserve">Fog</w:t>
            </w:r>
          </w:p>
        </w:tc>
        <w:tc>
          <w:tcPr>
            <w:tcW w:type="dxa" w:w="2300"/>
          </w:tcPr>
          <w:p>
            <w:r>
              <w:t xml:space="preserve">Tens of milliseconds</w:t>
            </w:r>
          </w:p>
        </w:tc>
        <w:tc>
          <w:tcPr>
            <w:tcW w:type="dxa" w:w="2300"/>
          </w:tcPr>
          <w:p>
            <w:r>
              <w:t xml:space="preserve">Moderate</w:t>
            </w:r>
          </w:p>
        </w:tc>
        <w:tc>
          <w:tcPr>
            <w:tcW w:type="dxa" w:w="2460"/>
          </w:tcPr>
          <w:p>
            <w:r>
              <w:t xml:space="preserve">District-level coordination and short-term analytics</w:t>
            </w:r>
          </w:p>
        </w:tc>
      </w:tr>
      <w:tr>
        <w:tc>
          <w:tcPr>
            <w:tcW w:type="dxa" w:w="2300"/>
            <w:shd w:fill="F2F6FC" w:val="clear"/>
          </w:tcPr>
          <w:p>
            <w:r>
              <w:t xml:space="preserve">Cloud</w:t>
            </w:r>
          </w:p>
        </w:tc>
        <w:tc>
          <w:tcPr>
            <w:tcW w:type="dxa" w:w="2300"/>
            <w:shd w:fill="F2F6FC" w:val="clear"/>
          </w:tcPr>
          <w:p>
            <w:r>
              <w:t xml:space="preserve">Hundreds of ms to seconds</w:t>
            </w:r>
          </w:p>
        </w:tc>
        <w:tc>
          <w:tcPr>
            <w:tcW w:type="dxa" w:w="2300"/>
            <w:shd w:fill="F2F6FC" w:val="clear"/>
          </w:tcPr>
          <w:p>
            <w:r>
              <w:t xml:space="preserve">Very large / elastic</w:t>
            </w:r>
          </w:p>
        </w:tc>
        <w:tc>
          <w:tcPr>
            <w:tcW w:type="dxa" w:w="2460"/>
            <w:shd w:fill="F2F6FC" w:val="clear"/>
          </w:tcPr>
          <w:p>
            <w:r>
              <w:t xml:space="preserve">City-wide analytics, ML training, long-term storage</w:t>
            </w:r>
          </w:p>
        </w:tc>
      </w:tr>
    </w:tbl>
    <w:p>
      <w:pPr>
        <w:spacing w:after="120" w:line="276"/>
      </w:pPr>
      <w:r>
        <w:t xml:space="preserve">This tiered design balances the competing needs of latency-sensitive control and compute-intensive analytics: pushing all raw data to the cloud would introduce unacceptable delay for safety-critical actions and overwhelm network bandwidth, while relying only on edge devices would sacrifice the city-wide intelligence and historical insight that only cloud-scale analytics can provide. Combining edge, fog, and cloud layers therefore gives the smart city platform both responsiveness and scalability.</w:t>
      </w:r>
    </w:p>
    <w:p>
      <w:pPr>
        <w:pBdr>
          <w:top w:val="single" w:color="AAAAAA" w:sz="4"/>
        </w:pBdr>
        <w:spacing w:before="400"/>
      </w:pPr>
      <w:r>
        <w:rPr>
          <w:i/>
          <w:iCs/>
          <w:color w:val="777777"/>
          <w:sz w:val="18"/>
          <w:szCs w:val="18"/>
        </w:rPr>
        <w:t xml:space="preserve">Prepared as a model answer set for CSA15 — Assessment Tool 2 (Case Study), CO3.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2026-08-13T17:49:59.775Z</dcterms:created>
  <dcterms:modified xsi:type="dcterms:W3CDTF">2026-08-13T17:49:59.793Z</dcterms:modified>
</cp:coreProperties>
</file>

<file path=docProps/custom.xml><?xml version="1.0" encoding="utf-8"?>
<Properties xmlns="http://schemas.openxmlformats.org/officeDocument/2006/custom-properties" xmlns:vt="http://schemas.openxmlformats.org/officeDocument/2006/docPropsVTypes"/>
</file>