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B6EA9" w14:textId="77777777" w:rsidR="00524474" w:rsidRDefault="00524474">
      <w:pPr>
        <w:spacing w:before="2000"/>
      </w:pPr>
    </w:p>
    <w:p w14:paraId="599AEF30" w14:textId="1937B62E" w:rsidR="000F0D78" w:rsidRDefault="000F0D78">
      <w:pPr>
        <w:jc w:val="center"/>
        <w:rPr>
          <w:rFonts w:ascii="Calibri" w:eastAsia="Calibri" w:hAnsi="Calibri" w:cs="Calibri"/>
          <w:b/>
          <w:bCs/>
          <w:color w:val="1F4E79"/>
          <w:sz w:val="52"/>
          <w:szCs w:val="52"/>
        </w:rPr>
      </w:pPr>
      <w:r>
        <w:rPr>
          <w:rFonts w:ascii="Calibri" w:eastAsia="Calibri" w:hAnsi="Calibri" w:cs="Calibri"/>
          <w:b/>
          <w:bCs/>
          <w:color w:val="1F4E79"/>
          <w:sz w:val="52"/>
          <w:szCs w:val="52"/>
        </w:rPr>
        <w:t>CO2_AT1</w:t>
      </w:r>
    </w:p>
    <w:p w14:paraId="26711CF1" w14:textId="5E1EAB35" w:rsidR="00524474" w:rsidRDefault="00000000">
      <w:pPr>
        <w:jc w:val="center"/>
      </w:pPr>
      <w:r>
        <w:rPr>
          <w:rFonts w:ascii="Calibri" w:eastAsia="Calibri" w:hAnsi="Calibri" w:cs="Calibri"/>
          <w:b/>
          <w:bCs/>
          <w:color w:val="1F4E79"/>
          <w:sz w:val="52"/>
          <w:szCs w:val="52"/>
        </w:rPr>
        <w:t>Analytical Problem Solving</w:t>
      </w:r>
    </w:p>
    <w:p w14:paraId="15E052F1" w14:textId="77777777" w:rsidR="000F0D78" w:rsidRDefault="000F0D78">
      <w:pPr>
        <w:spacing w:before="200" w:after="100"/>
        <w:jc w:val="center"/>
        <w:rPr>
          <w:rFonts w:ascii="Calibri" w:eastAsia="Calibri" w:hAnsi="Calibri" w:cs="Calibri"/>
          <w:color w:val="444444"/>
          <w:sz w:val="30"/>
          <w:szCs w:val="30"/>
        </w:rPr>
      </w:pPr>
    </w:p>
    <w:p w14:paraId="362622ED" w14:textId="77777777" w:rsidR="000F0D78" w:rsidRDefault="000F0D78">
      <w:pPr>
        <w:spacing w:before="200" w:after="100"/>
        <w:jc w:val="center"/>
        <w:rPr>
          <w:rFonts w:ascii="Calibri" w:eastAsia="Calibri" w:hAnsi="Calibri" w:cs="Calibri"/>
          <w:color w:val="444444"/>
          <w:sz w:val="30"/>
          <w:szCs w:val="30"/>
        </w:rPr>
      </w:pPr>
    </w:p>
    <w:p w14:paraId="31CF2D0B" w14:textId="77777777" w:rsidR="000F0D78" w:rsidRDefault="000F0D78">
      <w:pPr>
        <w:spacing w:before="200" w:after="100"/>
        <w:jc w:val="center"/>
        <w:rPr>
          <w:rFonts w:ascii="Calibri" w:eastAsia="Calibri" w:hAnsi="Calibri" w:cs="Calibri"/>
          <w:color w:val="444444"/>
          <w:sz w:val="30"/>
          <w:szCs w:val="30"/>
        </w:rPr>
      </w:pPr>
    </w:p>
    <w:p w14:paraId="36FAF4C3" w14:textId="13E5999D" w:rsidR="000F0D78" w:rsidRDefault="000F0D78">
      <w:pPr>
        <w:spacing w:before="200" w:after="100"/>
        <w:jc w:val="center"/>
        <w:rPr>
          <w:rFonts w:ascii="Calibri" w:eastAsia="Calibri" w:hAnsi="Calibri" w:cs="Calibri"/>
          <w:color w:val="444444"/>
          <w:sz w:val="30"/>
          <w:szCs w:val="30"/>
        </w:rPr>
      </w:pPr>
      <w:r>
        <w:rPr>
          <w:rFonts w:ascii="Calibri" w:eastAsia="Calibri" w:hAnsi="Calibri" w:cs="Calibri"/>
          <w:color w:val="444444"/>
          <w:sz w:val="30"/>
          <w:szCs w:val="30"/>
        </w:rPr>
        <w:t>L.Mithun Kumar Reddy</w:t>
      </w:r>
    </w:p>
    <w:p w14:paraId="2033C55C" w14:textId="454ACFA3" w:rsidR="000F0D78" w:rsidRDefault="000F0D78">
      <w:pPr>
        <w:spacing w:before="200" w:after="100"/>
        <w:jc w:val="center"/>
        <w:rPr>
          <w:rFonts w:ascii="Calibri" w:eastAsia="Calibri" w:hAnsi="Calibri" w:cs="Calibri"/>
          <w:color w:val="444444"/>
          <w:sz w:val="30"/>
          <w:szCs w:val="30"/>
        </w:rPr>
      </w:pPr>
      <w:r>
        <w:rPr>
          <w:rFonts w:ascii="Calibri" w:eastAsia="Calibri" w:hAnsi="Calibri" w:cs="Calibri"/>
          <w:color w:val="444444"/>
          <w:sz w:val="30"/>
          <w:szCs w:val="30"/>
        </w:rPr>
        <w:t>192365017</w:t>
      </w:r>
    </w:p>
    <w:p w14:paraId="358DFFC8" w14:textId="77777777" w:rsidR="000F0D78" w:rsidRDefault="000F0D78">
      <w:pPr>
        <w:spacing w:before="200" w:after="100"/>
        <w:jc w:val="center"/>
        <w:rPr>
          <w:rFonts w:ascii="Calibri" w:eastAsia="Calibri" w:hAnsi="Calibri" w:cs="Calibri"/>
          <w:color w:val="444444"/>
          <w:sz w:val="30"/>
          <w:szCs w:val="30"/>
        </w:rPr>
      </w:pPr>
    </w:p>
    <w:p w14:paraId="743641DD" w14:textId="77777777" w:rsidR="000F0D78" w:rsidRDefault="000F0D78">
      <w:pPr>
        <w:spacing w:before="200" w:after="100"/>
        <w:jc w:val="center"/>
        <w:rPr>
          <w:rFonts w:ascii="Calibri" w:eastAsia="Calibri" w:hAnsi="Calibri" w:cs="Calibri"/>
          <w:color w:val="444444"/>
          <w:sz w:val="30"/>
          <w:szCs w:val="30"/>
        </w:rPr>
      </w:pPr>
    </w:p>
    <w:p w14:paraId="1BA321EC" w14:textId="77777777" w:rsidR="000F0D78" w:rsidRDefault="000F0D78">
      <w:pPr>
        <w:spacing w:before="200" w:after="100"/>
        <w:jc w:val="center"/>
        <w:rPr>
          <w:rFonts w:ascii="Calibri" w:eastAsia="Calibri" w:hAnsi="Calibri" w:cs="Calibri"/>
          <w:color w:val="444444"/>
          <w:sz w:val="30"/>
          <w:szCs w:val="30"/>
        </w:rPr>
      </w:pPr>
    </w:p>
    <w:p w14:paraId="5C701155" w14:textId="6089A59B" w:rsidR="00524474" w:rsidRDefault="00000000">
      <w:pPr>
        <w:spacing w:before="200" w:after="100"/>
        <w:jc w:val="center"/>
      </w:pPr>
      <w:r>
        <w:rPr>
          <w:rFonts w:ascii="Calibri" w:eastAsia="Calibri" w:hAnsi="Calibri" w:cs="Calibri"/>
          <w:color w:val="444444"/>
          <w:sz w:val="30"/>
          <w:szCs w:val="30"/>
        </w:rPr>
        <w:t>Cloud Computing &amp; Virtualization — Assignment</w:t>
      </w:r>
    </w:p>
    <w:p w14:paraId="5255C42B" w14:textId="77777777" w:rsidR="00524474" w:rsidRDefault="00000000">
      <w:pPr>
        <w:spacing w:before="100"/>
        <w:jc w:val="center"/>
      </w:pPr>
      <w:r>
        <w:rPr>
          <w:rFonts w:ascii="Calibri" w:eastAsia="Calibri" w:hAnsi="Calibri" w:cs="Calibri"/>
          <w:i/>
          <w:iCs/>
          <w:color w:val="666666"/>
          <w:sz w:val="24"/>
          <w:szCs w:val="24"/>
        </w:rPr>
        <w:t>Hypervisors, Isolation, Performance Diagnostics, SDDC and Federated Identity</w:t>
      </w:r>
    </w:p>
    <w:p w14:paraId="3F537ABD" w14:textId="77777777" w:rsidR="00524474" w:rsidRDefault="00524474">
      <w:pPr>
        <w:spacing w:before="3000"/>
      </w:pPr>
    </w:p>
    <w:p w14:paraId="00988BB1" w14:textId="77777777" w:rsidR="00524474" w:rsidRDefault="00000000">
      <w:r>
        <w:br w:type="page"/>
      </w:r>
    </w:p>
    <w:p w14:paraId="7733AF68" w14:textId="77777777" w:rsidR="00524474" w:rsidRDefault="00000000">
      <w:pPr>
        <w:shd w:val="clear" w:color="auto" w:fill="DCE6F1"/>
        <w:spacing w:before="100" w:after="200"/>
      </w:pPr>
      <w:r>
        <w:rPr>
          <w:rFonts w:ascii="Calibri" w:eastAsia="Calibri" w:hAnsi="Calibri" w:cs="Calibri"/>
          <w:b/>
          <w:bCs/>
          <w:color w:val="1F4E79"/>
          <w:sz w:val="26"/>
          <w:szCs w:val="26"/>
        </w:rPr>
        <w:lastRenderedPageBreak/>
        <w:t xml:space="preserve">Question 1: </w:t>
      </w:r>
      <w:r>
        <w:rPr>
          <w:rFonts w:ascii="Calibri" w:eastAsia="Calibri" w:hAnsi="Calibri" w:cs="Calibri"/>
          <w:b/>
          <w:bCs/>
          <w:sz w:val="26"/>
          <w:szCs w:val="26"/>
        </w:rPr>
        <w:t>Compare Type-1 and Type-2 hypervisors for a cloud datacenter hosting mission-critical applications. Analyze performance, security, and manageability, then justify the better choice.</w:t>
      </w:r>
    </w:p>
    <w:p w14:paraId="14DD2C22"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1. Introduction</w:t>
      </w:r>
    </w:p>
    <w:p w14:paraId="03F2E368" w14:textId="77777777" w:rsidR="00524474" w:rsidRDefault="00000000">
      <w:pPr>
        <w:spacing w:after="120" w:line="300" w:lineRule="auto"/>
        <w:jc w:val="both"/>
      </w:pPr>
      <w:r>
        <w:rPr>
          <w:rFonts w:ascii="Calibri" w:eastAsia="Calibri" w:hAnsi="Calibri" w:cs="Calibri"/>
          <w:sz w:val="22"/>
          <w:szCs w:val="22"/>
        </w:rPr>
        <w:t>A hypervisor, also called a Virtual Machine Monitor (VMM), is the software layer that creates and manages virtual machines (VMs) by abstracting physical hardware resources — CPU, memory, storage, and network — into multiple isolated virtual instances. Hypervisors are broadly classified into two categories based on where they sit relative to the underlying hardware: Type-1 (bare-metal) hypervisors and Type-2 (hosted) hypervisors. For a cloud datacenter running mission-critical applications such as banking systems, healthcare records, or large-scale SaaS platforms, choosing the correct hypervisor type directly affects uptime, security posture, and operational cost. This analysis compares both types across performance, security, and manageability dimensions.</w:t>
      </w:r>
    </w:p>
    <w:p w14:paraId="180AB219"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2. Architectural Overview</w:t>
      </w:r>
    </w:p>
    <w:p w14:paraId="6D5F2E17" w14:textId="77777777" w:rsidR="00524474" w:rsidRDefault="00000000">
      <w:pPr>
        <w:pStyle w:val="Heading2"/>
        <w:spacing w:before="220" w:after="100"/>
      </w:pPr>
      <w:r>
        <w:rPr>
          <w:rFonts w:ascii="Calibri" w:eastAsia="Calibri" w:hAnsi="Calibri" w:cs="Calibri"/>
          <w:b/>
          <w:bCs/>
          <w:color w:val="1F4E79"/>
          <w:sz w:val="24"/>
          <w:szCs w:val="24"/>
        </w:rPr>
        <w:t>2.1 Type-1 Hypervisor (Bare-Metal)</w:t>
      </w:r>
    </w:p>
    <w:p w14:paraId="77780D5B" w14:textId="77777777" w:rsidR="00524474" w:rsidRDefault="00000000">
      <w:pPr>
        <w:spacing w:after="120" w:line="300" w:lineRule="auto"/>
        <w:jc w:val="both"/>
      </w:pPr>
      <w:r>
        <w:rPr>
          <w:rFonts w:ascii="Calibri" w:eastAsia="Calibri" w:hAnsi="Calibri" w:cs="Calibri"/>
          <w:sz w:val="22"/>
          <w:szCs w:val="22"/>
        </w:rPr>
        <w:t>A Type-1 hypervisor runs directly on the physical hardware, without an intervening host operating system. It has direct access to CPU, memory, and I/O devices, and it schedules VMs itself. Examples include VMware ESXi, Microsoft Hyper-V (in its bare-metal deployment), Citrix Hypervisor, and KVM (when treated as part of the Linux kernel acting as a bare-metal hypervisor).</w:t>
      </w:r>
    </w:p>
    <w:p w14:paraId="53A55691" w14:textId="77777777" w:rsidR="00524474" w:rsidRDefault="00000000">
      <w:pPr>
        <w:pStyle w:val="Heading2"/>
        <w:spacing w:before="220" w:after="100"/>
      </w:pPr>
      <w:r>
        <w:rPr>
          <w:rFonts w:ascii="Calibri" w:eastAsia="Calibri" w:hAnsi="Calibri" w:cs="Calibri"/>
          <w:b/>
          <w:bCs/>
          <w:color w:val="1F4E79"/>
          <w:sz w:val="24"/>
          <w:szCs w:val="24"/>
        </w:rPr>
        <w:t>2.2 Type-2 Hypervisor (Hosted)</w:t>
      </w:r>
    </w:p>
    <w:p w14:paraId="08F6D1EB" w14:textId="77777777" w:rsidR="00524474" w:rsidRDefault="00000000">
      <w:pPr>
        <w:spacing w:after="120" w:line="300" w:lineRule="auto"/>
        <w:jc w:val="both"/>
      </w:pPr>
      <w:r>
        <w:rPr>
          <w:rFonts w:ascii="Calibri" w:eastAsia="Calibri" w:hAnsi="Calibri" w:cs="Calibri"/>
          <w:sz w:val="22"/>
          <w:szCs w:val="22"/>
        </w:rPr>
        <w:t>A Type-2 hypervisor runs as an application on top of a conventional host operating system (Windows, Linux, macOS). It relies on the host OS for hardware access, device drivers, and scheduling. Examples include VMware Workstation, Oracle VirtualBox, and Parallels Desktop. Because an entire general-purpose OS sits between the hypervisor and the hardware, every VM operation is mediated by that host OS.</w:t>
      </w:r>
    </w:p>
    <w:p w14:paraId="7FDFE4A8"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3. Performance Analysis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3200"/>
      </w:tblGrid>
      <w:tr w:rsidR="00524474" w14:paraId="31421BD9" w14:textId="77777777">
        <w:tblPrEx>
          <w:tblCellMar>
            <w:top w:w="0" w:type="dxa"/>
            <w:bottom w:w="0" w:type="dxa"/>
          </w:tblCellMar>
        </w:tblPrEx>
        <w:trPr>
          <w:tblHeader/>
        </w:trPr>
        <w:tc>
          <w:tcPr>
            <w:tcW w:w="3200" w:type="dxa"/>
            <w:shd w:val="clear" w:color="auto" w:fill="1F4E79"/>
            <w:tcMar>
              <w:top w:w="80" w:type="dxa"/>
              <w:left w:w="100" w:type="dxa"/>
              <w:bottom w:w="80" w:type="dxa"/>
              <w:right w:w="100" w:type="dxa"/>
            </w:tcMar>
          </w:tcPr>
          <w:p w14:paraId="4B53FB64" w14:textId="77777777" w:rsidR="00524474" w:rsidRDefault="00000000">
            <w:r>
              <w:rPr>
                <w:rFonts w:ascii="Calibri" w:eastAsia="Calibri" w:hAnsi="Calibri" w:cs="Calibri"/>
                <w:b/>
                <w:bCs/>
                <w:color w:val="FFFFFF"/>
              </w:rPr>
              <w:t>Parameter</w:t>
            </w:r>
          </w:p>
        </w:tc>
        <w:tc>
          <w:tcPr>
            <w:tcW w:w="3200" w:type="dxa"/>
            <w:shd w:val="clear" w:color="auto" w:fill="1F4E79"/>
            <w:tcMar>
              <w:top w:w="80" w:type="dxa"/>
              <w:left w:w="100" w:type="dxa"/>
              <w:bottom w:w="80" w:type="dxa"/>
              <w:right w:w="100" w:type="dxa"/>
            </w:tcMar>
          </w:tcPr>
          <w:p w14:paraId="6FDFF6A1" w14:textId="77777777" w:rsidR="00524474" w:rsidRDefault="00000000">
            <w:r>
              <w:rPr>
                <w:rFonts w:ascii="Calibri" w:eastAsia="Calibri" w:hAnsi="Calibri" w:cs="Calibri"/>
                <w:b/>
                <w:bCs/>
                <w:color w:val="FFFFFF"/>
              </w:rPr>
              <w:t>Type-1 (Bare-Metal)</w:t>
            </w:r>
          </w:p>
        </w:tc>
        <w:tc>
          <w:tcPr>
            <w:tcW w:w="3200" w:type="dxa"/>
            <w:shd w:val="clear" w:color="auto" w:fill="1F4E79"/>
            <w:tcMar>
              <w:top w:w="80" w:type="dxa"/>
              <w:left w:w="100" w:type="dxa"/>
              <w:bottom w:w="80" w:type="dxa"/>
              <w:right w:w="100" w:type="dxa"/>
            </w:tcMar>
          </w:tcPr>
          <w:p w14:paraId="7E056D61" w14:textId="77777777" w:rsidR="00524474" w:rsidRDefault="00000000">
            <w:r>
              <w:rPr>
                <w:rFonts w:ascii="Calibri" w:eastAsia="Calibri" w:hAnsi="Calibri" w:cs="Calibri"/>
                <w:b/>
                <w:bCs/>
                <w:color w:val="FFFFFF"/>
              </w:rPr>
              <w:t>Type-2 (Hosted)</w:t>
            </w:r>
          </w:p>
        </w:tc>
      </w:tr>
      <w:tr w:rsidR="00524474" w14:paraId="4DD02BAF" w14:textId="77777777">
        <w:tblPrEx>
          <w:tblCellMar>
            <w:top w:w="0" w:type="dxa"/>
            <w:bottom w:w="0" w:type="dxa"/>
          </w:tblCellMar>
        </w:tblPrEx>
        <w:tc>
          <w:tcPr>
            <w:tcW w:w="3200" w:type="dxa"/>
            <w:shd w:val="clear" w:color="auto" w:fill="F2F6FA"/>
            <w:tcMar>
              <w:top w:w="70" w:type="dxa"/>
              <w:left w:w="100" w:type="dxa"/>
              <w:bottom w:w="70" w:type="dxa"/>
              <w:right w:w="100" w:type="dxa"/>
            </w:tcMar>
          </w:tcPr>
          <w:p w14:paraId="5033262D" w14:textId="77777777" w:rsidR="00524474" w:rsidRDefault="00000000">
            <w:r>
              <w:rPr>
                <w:rFonts w:ascii="Calibri" w:eastAsia="Calibri" w:hAnsi="Calibri" w:cs="Calibri"/>
              </w:rPr>
              <w:t>CPU/Memory access</w:t>
            </w:r>
          </w:p>
        </w:tc>
        <w:tc>
          <w:tcPr>
            <w:tcW w:w="3200" w:type="dxa"/>
            <w:shd w:val="clear" w:color="auto" w:fill="F2F6FA"/>
            <w:tcMar>
              <w:top w:w="70" w:type="dxa"/>
              <w:left w:w="100" w:type="dxa"/>
              <w:bottom w:w="70" w:type="dxa"/>
              <w:right w:w="100" w:type="dxa"/>
            </w:tcMar>
          </w:tcPr>
          <w:p w14:paraId="554C7E16" w14:textId="77777777" w:rsidR="00524474" w:rsidRDefault="00000000">
            <w:r>
              <w:rPr>
                <w:rFonts w:ascii="Calibri" w:eastAsia="Calibri" w:hAnsi="Calibri" w:cs="Calibri"/>
              </w:rPr>
              <w:t>Direct access to hardware; near-native performance</w:t>
            </w:r>
          </w:p>
        </w:tc>
        <w:tc>
          <w:tcPr>
            <w:tcW w:w="3200" w:type="dxa"/>
            <w:shd w:val="clear" w:color="auto" w:fill="F2F6FA"/>
            <w:tcMar>
              <w:top w:w="70" w:type="dxa"/>
              <w:left w:w="100" w:type="dxa"/>
              <w:bottom w:w="70" w:type="dxa"/>
              <w:right w:w="100" w:type="dxa"/>
            </w:tcMar>
          </w:tcPr>
          <w:p w14:paraId="728E07DA" w14:textId="77777777" w:rsidR="00524474" w:rsidRDefault="00000000">
            <w:r>
              <w:rPr>
                <w:rFonts w:ascii="Calibri" w:eastAsia="Calibri" w:hAnsi="Calibri" w:cs="Calibri"/>
              </w:rPr>
              <w:t>Passes through host OS kernel; added scheduling overhead</w:t>
            </w:r>
          </w:p>
        </w:tc>
      </w:tr>
      <w:tr w:rsidR="00524474" w14:paraId="491B7434"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4628AB38" w14:textId="77777777" w:rsidR="00524474" w:rsidRDefault="00000000">
            <w:r>
              <w:rPr>
                <w:rFonts w:ascii="Calibri" w:eastAsia="Calibri" w:hAnsi="Calibri" w:cs="Calibri"/>
              </w:rPr>
              <w:t>I/O throughput</w:t>
            </w:r>
          </w:p>
        </w:tc>
        <w:tc>
          <w:tcPr>
            <w:tcW w:w="3200" w:type="dxa"/>
            <w:shd w:val="clear" w:color="auto" w:fill="FFFFFF"/>
            <w:tcMar>
              <w:top w:w="70" w:type="dxa"/>
              <w:left w:w="100" w:type="dxa"/>
              <w:bottom w:w="70" w:type="dxa"/>
              <w:right w:w="100" w:type="dxa"/>
            </w:tcMar>
          </w:tcPr>
          <w:p w14:paraId="213D6A99" w14:textId="77777777" w:rsidR="00524474" w:rsidRDefault="00000000">
            <w:r>
              <w:rPr>
                <w:rFonts w:ascii="Calibri" w:eastAsia="Calibri" w:hAnsi="Calibri" w:cs="Calibri"/>
              </w:rPr>
              <w:t>Optimized I/O stack with paravirtualized/passthrough drivers</w:t>
            </w:r>
          </w:p>
        </w:tc>
        <w:tc>
          <w:tcPr>
            <w:tcW w:w="3200" w:type="dxa"/>
            <w:shd w:val="clear" w:color="auto" w:fill="FFFFFF"/>
            <w:tcMar>
              <w:top w:w="70" w:type="dxa"/>
              <w:left w:w="100" w:type="dxa"/>
              <w:bottom w:w="70" w:type="dxa"/>
              <w:right w:w="100" w:type="dxa"/>
            </w:tcMar>
          </w:tcPr>
          <w:p w14:paraId="4C2F2E99" w14:textId="77777777" w:rsidR="00524474" w:rsidRDefault="00000000">
            <w:r>
              <w:rPr>
                <w:rFonts w:ascii="Calibri" w:eastAsia="Calibri" w:hAnsi="Calibri" w:cs="Calibri"/>
              </w:rPr>
              <w:t>I/O emulated through host OS drivers; higher latency</w:t>
            </w:r>
          </w:p>
        </w:tc>
      </w:tr>
      <w:tr w:rsidR="00524474" w14:paraId="3374AD7C" w14:textId="77777777">
        <w:tblPrEx>
          <w:tblCellMar>
            <w:top w:w="0" w:type="dxa"/>
            <w:bottom w:w="0" w:type="dxa"/>
          </w:tblCellMar>
        </w:tblPrEx>
        <w:tc>
          <w:tcPr>
            <w:tcW w:w="3200" w:type="dxa"/>
            <w:shd w:val="clear" w:color="auto" w:fill="F2F6FA"/>
            <w:tcMar>
              <w:top w:w="70" w:type="dxa"/>
              <w:left w:w="100" w:type="dxa"/>
              <w:bottom w:w="70" w:type="dxa"/>
              <w:right w:w="100" w:type="dxa"/>
            </w:tcMar>
          </w:tcPr>
          <w:p w14:paraId="3D45D9D0" w14:textId="77777777" w:rsidR="00524474" w:rsidRDefault="00000000">
            <w:r>
              <w:rPr>
                <w:rFonts w:ascii="Calibri" w:eastAsia="Calibri" w:hAnsi="Calibri" w:cs="Calibri"/>
              </w:rPr>
              <w:t>VM density</w:t>
            </w:r>
          </w:p>
        </w:tc>
        <w:tc>
          <w:tcPr>
            <w:tcW w:w="3200" w:type="dxa"/>
            <w:shd w:val="clear" w:color="auto" w:fill="F2F6FA"/>
            <w:tcMar>
              <w:top w:w="70" w:type="dxa"/>
              <w:left w:w="100" w:type="dxa"/>
              <w:bottom w:w="70" w:type="dxa"/>
              <w:right w:w="100" w:type="dxa"/>
            </w:tcMar>
          </w:tcPr>
          <w:p w14:paraId="3BC1E21F" w14:textId="77777777" w:rsidR="00524474" w:rsidRDefault="00000000">
            <w:r>
              <w:rPr>
                <w:rFonts w:ascii="Calibri" w:eastAsia="Calibri" w:hAnsi="Calibri" w:cs="Calibri"/>
              </w:rPr>
              <w:t>Supports hundreds of VMs per host efficiently</w:t>
            </w:r>
          </w:p>
        </w:tc>
        <w:tc>
          <w:tcPr>
            <w:tcW w:w="3200" w:type="dxa"/>
            <w:shd w:val="clear" w:color="auto" w:fill="F2F6FA"/>
            <w:tcMar>
              <w:top w:w="70" w:type="dxa"/>
              <w:left w:w="100" w:type="dxa"/>
              <w:bottom w:w="70" w:type="dxa"/>
              <w:right w:w="100" w:type="dxa"/>
            </w:tcMar>
          </w:tcPr>
          <w:p w14:paraId="180C85C6" w14:textId="77777777" w:rsidR="00524474" w:rsidRDefault="00000000">
            <w:r>
              <w:rPr>
                <w:rFonts w:ascii="Calibri" w:eastAsia="Calibri" w:hAnsi="Calibri" w:cs="Calibri"/>
              </w:rPr>
              <w:t>Limited; host OS itself consumes significant resources</w:t>
            </w:r>
          </w:p>
        </w:tc>
      </w:tr>
      <w:tr w:rsidR="00524474" w14:paraId="14115C37" w14:textId="77777777">
        <w:tblPrEx>
          <w:tblCellMar>
            <w:top w:w="0" w:type="dxa"/>
            <w:bottom w:w="0" w:type="dxa"/>
          </w:tblCellMar>
        </w:tblPrEx>
        <w:tc>
          <w:tcPr>
            <w:tcW w:w="3200" w:type="dxa"/>
            <w:shd w:val="clear" w:color="auto" w:fill="FFFFFF"/>
            <w:tcMar>
              <w:top w:w="70" w:type="dxa"/>
              <w:left w:w="100" w:type="dxa"/>
              <w:bottom w:w="70" w:type="dxa"/>
              <w:right w:w="100" w:type="dxa"/>
            </w:tcMar>
          </w:tcPr>
          <w:p w14:paraId="1E303C80" w14:textId="77777777" w:rsidR="00524474" w:rsidRDefault="00000000">
            <w:r>
              <w:rPr>
                <w:rFonts w:ascii="Calibri" w:eastAsia="Calibri" w:hAnsi="Calibri" w:cs="Calibri"/>
              </w:rPr>
              <w:t>Boot / provisioning speed</w:t>
            </w:r>
          </w:p>
        </w:tc>
        <w:tc>
          <w:tcPr>
            <w:tcW w:w="3200" w:type="dxa"/>
            <w:shd w:val="clear" w:color="auto" w:fill="FFFFFF"/>
            <w:tcMar>
              <w:top w:w="70" w:type="dxa"/>
              <w:left w:w="100" w:type="dxa"/>
              <w:bottom w:w="70" w:type="dxa"/>
              <w:right w:w="100" w:type="dxa"/>
            </w:tcMar>
          </w:tcPr>
          <w:p w14:paraId="3B8DB4CB" w14:textId="77777777" w:rsidR="00524474" w:rsidRDefault="00000000">
            <w:r>
              <w:rPr>
                <w:rFonts w:ascii="Calibri" w:eastAsia="Calibri" w:hAnsi="Calibri" w:cs="Calibri"/>
              </w:rPr>
              <w:t>Fast, since scheduler is purpose-built for VMs</w:t>
            </w:r>
          </w:p>
        </w:tc>
        <w:tc>
          <w:tcPr>
            <w:tcW w:w="3200" w:type="dxa"/>
            <w:shd w:val="clear" w:color="auto" w:fill="FFFFFF"/>
            <w:tcMar>
              <w:top w:w="70" w:type="dxa"/>
              <w:left w:w="100" w:type="dxa"/>
              <w:bottom w:w="70" w:type="dxa"/>
              <w:right w:w="100" w:type="dxa"/>
            </w:tcMar>
          </w:tcPr>
          <w:p w14:paraId="465DB5B9" w14:textId="77777777" w:rsidR="00524474" w:rsidRDefault="00000000">
            <w:r>
              <w:rPr>
                <w:rFonts w:ascii="Calibri" w:eastAsia="Calibri" w:hAnsi="Calibri" w:cs="Calibri"/>
              </w:rPr>
              <w:t>Slower, as host OS processes compete for resources</w:t>
            </w:r>
          </w:p>
        </w:tc>
      </w:tr>
      <w:tr w:rsidR="00524474" w14:paraId="754C3374" w14:textId="77777777">
        <w:tblPrEx>
          <w:tblCellMar>
            <w:top w:w="0" w:type="dxa"/>
            <w:bottom w:w="0" w:type="dxa"/>
          </w:tblCellMar>
        </w:tblPrEx>
        <w:tc>
          <w:tcPr>
            <w:tcW w:w="3200" w:type="dxa"/>
            <w:shd w:val="clear" w:color="auto" w:fill="F2F6FA"/>
            <w:tcMar>
              <w:top w:w="70" w:type="dxa"/>
              <w:left w:w="100" w:type="dxa"/>
              <w:bottom w:w="70" w:type="dxa"/>
              <w:right w:w="100" w:type="dxa"/>
            </w:tcMar>
          </w:tcPr>
          <w:p w14:paraId="790B73EE" w14:textId="77777777" w:rsidR="00524474" w:rsidRDefault="00000000">
            <w:r>
              <w:rPr>
                <w:rFonts w:ascii="Calibri" w:eastAsia="Calibri" w:hAnsi="Calibri" w:cs="Calibri"/>
              </w:rPr>
              <w:t>Consistency under load</w:t>
            </w:r>
          </w:p>
        </w:tc>
        <w:tc>
          <w:tcPr>
            <w:tcW w:w="3200" w:type="dxa"/>
            <w:shd w:val="clear" w:color="auto" w:fill="F2F6FA"/>
            <w:tcMar>
              <w:top w:w="70" w:type="dxa"/>
              <w:left w:w="100" w:type="dxa"/>
              <w:bottom w:w="70" w:type="dxa"/>
              <w:right w:w="100" w:type="dxa"/>
            </w:tcMar>
          </w:tcPr>
          <w:p w14:paraId="476B7C61" w14:textId="77777777" w:rsidR="00524474" w:rsidRDefault="00000000">
            <w:r>
              <w:rPr>
                <w:rFonts w:ascii="Calibri" w:eastAsia="Calibri" w:hAnsi="Calibri" w:cs="Calibri"/>
              </w:rPr>
              <w:t>Predictable, deterministic performance (SLA-friendly)</w:t>
            </w:r>
          </w:p>
        </w:tc>
        <w:tc>
          <w:tcPr>
            <w:tcW w:w="3200" w:type="dxa"/>
            <w:shd w:val="clear" w:color="auto" w:fill="F2F6FA"/>
            <w:tcMar>
              <w:top w:w="70" w:type="dxa"/>
              <w:left w:w="100" w:type="dxa"/>
              <w:bottom w:w="70" w:type="dxa"/>
              <w:right w:w="100" w:type="dxa"/>
            </w:tcMar>
          </w:tcPr>
          <w:p w14:paraId="018F6617" w14:textId="77777777" w:rsidR="00524474" w:rsidRDefault="00000000">
            <w:r>
              <w:rPr>
                <w:rFonts w:ascii="Calibri" w:eastAsia="Calibri" w:hAnsi="Calibri" w:cs="Calibri"/>
              </w:rPr>
              <w:t>Performance varies with host OS load and background processes</w:t>
            </w:r>
          </w:p>
        </w:tc>
      </w:tr>
    </w:tbl>
    <w:p w14:paraId="075EE4B4" w14:textId="77777777" w:rsidR="00524474" w:rsidRDefault="00000000">
      <w:pPr>
        <w:spacing w:after="120" w:line="300" w:lineRule="auto"/>
        <w:jc w:val="both"/>
      </w:pPr>
      <w:r>
        <w:rPr>
          <w:rFonts w:ascii="Calibri" w:eastAsia="Calibri" w:hAnsi="Calibri" w:cs="Calibri"/>
          <w:sz w:val="22"/>
          <w:szCs w:val="22"/>
        </w:rPr>
        <w:lastRenderedPageBreak/>
        <w:t>Because a Type-1 hypervisor eliminates the intermediate operating system, it minimizes the number of software layers between a VM's instructions and the physical CPU. This translates into lower latency and higher throughput — critical for mission-critical workloads that must meet strict Service Level Agreements (SLAs) for response time and availability. Type-2 hypervisors, in contrast, are constrained by the host OS's own scheduler, memory manager, and driver stack, making them unsuitable for high-density, latency-sensitive production workloads, though they remain excellent for development, testing, and personal sandboxing.</w:t>
      </w:r>
    </w:p>
    <w:p w14:paraId="5E787A45"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4. Security Analysis</w:t>
      </w:r>
    </w:p>
    <w:p w14:paraId="4EF7A1B3"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Type-1:</w:t>
      </w:r>
      <w:r>
        <w:rPr>
          <w:rFonts w:ascii="Calibri" w:eastAsia="Calibri" w:hAnsi="Calibri" w:cs="Calibri"/>
          <w:sz w:val="22"/>
          <w:szCs w:val="22"/>
        </w:rPr>
        <w:t xml:space="preserve"> has a much smaller attack surface because it does not depend on a full general-purpose operating system; its hypervisor kernel is compact and purpose-built, reducing the number of exploitable services.</w:t>
      </w:r>
    </w:p>
    <w:p w14:paraId="0D033ACE"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Type-1:</w:t>
      </w:r>
      <w:r>
        <w:rPr>
          <w:rFonts w:ascii="Calibri" w:eastAsia="Calibri" w:hAnsi="Calibri" w:cs="Calibri"/>
          <w:sz w:val="22"/>
          <w:szCs w:val="22"/>
        </w:rPr>
        <w:t xml:space="preserve"> enforces strong isolation between VMs at the hardware level (using CPU virtualization extensions such as Intel VT-x/AMD-V), so a compromise in one VM is far less likely to affect the hypervisor or sibling VMs.</w:t>
      </w:r>
    </w:p>
    <w:p w14:paraId="4FF39E18"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Type-2:</w:t>
      </w:r>
      <w:r>
        <w:rPr>
          <w:rFonts w:ascii="Calibri" w:eastAsia="Calibri" w:hAnsi="Calibri" w:cs="Calibri"/>
          <w:sz w:val="22"/>
          <w:szCs w:val="22"/>
        </w:rPr>
        <w:t xml:space="preserve"> inherits all vulnerabilities of the underlying host OS. If the host OS is compromised (e.g., via malware, an unpatched service, or a privileged user account), every VM running on top of it is at risk — this is a single point of failure.</w:t>
      </w:r>
    </w:p>
    <w:p w14:paraId="5004CD78"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Type-1:</w:t>
      </w:r>
      <w:r>
        <w:rPr>
          <w:rFonts w:ascii="Calibri" w:eastAsia="Calibri" w:hAnsi="Calibri" w:cs="Calibri"/>
          <w:sz w:val="22"/>
          <w:szCs w:val="22"/>
        </w:rPr>
        <w:t xml:space="preserve"> is generally easier to patch and harden because vendors ship minimal, security-focused builds (e.g., ESXi's locked-down console), whereas Type-2 hosts must be secured like any general-purpose OS, with a wider range of applications and services to defend.</w:t>
      </w:r>
    </w:p>
    <w:p w14:paraId="634B4AC2" w14:textId="77777777" w:rsidR="00524474" w:rsidRDefault="00000000">
      <w:pPr>
        <w:spacing w:after="120" w:line="300" w:lineRule="auto"/>
        <w:jc w:val="both"/>
      </w:pPr>
      <w:r>
        <w:rPr>
          <w:rFonts w:ascii="Calibri" w:eastAsia="Calibri" w:hAnsi="Calibri" w:cs="Calibri"/>
          <w:sz w:val="22"/>
          <w:szCs w:val="22"/>
        </w:rPr>
        <w:t>For mission-critical, regulated environments (finance, healthcare), minimizing the trusted computing base (TCB) is essential. Type-1 hypervisors, by removing the general-purpose host OS from the security path, provide a substantially stronger isolation guarantee and are the standard choice for compliance-driven cloud infrastructure (PCI-DSS, HIPAA, ISO 27001).</w:t>
      </w:r>
    </w:p>
    <w:p w14:paraId="5A7FF055"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5. Manageability Analysis</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300"/>
        <w:gridCol w:w="3500"/>
      </w:tblGrid>
      <w:tr w:rsidR="00524474" w14:paraId="3A8F2739" w14:textId="77777777">
        <w:tblPrEx>
          <w:tblCellMar>
            <w:top w:w="0" w:type="dxa"/>
            <w:bottom w:w="0" w:type="dxa"/>
          </w:tblCellMar>
        </w:tblPrEx>
        <w:trPr>
          <w:tblHeader/>
        </w:trPr>
        <w:tc>
          <w:tcPr>
            <w:tcW w:w="2800" w:type="dxa"/>
            <w:shd w:val="clear" w:color="auto" w:fill="1F4E79"/>
            <w:tcMar>
              <w:top w:w="80" w:type="dxa"/>
              <w:left w:w="100" w:type="dxa"/>
              <w:bottom w:w="80" w:type="dxa"/>
              <w:right w:w="100" w:type="dxa"/>
            </w:tcMar>
          </w:tcPr>
          <w:p w14:paraId="7933D061" w14:textId="77777777" w:rsidR="00524474" w:rsidRDefault="00000000">
            <w:r>
              <w:rPr>
                <w:rFonts w:ascii="Calibri" w:eastAsia="Calibri" w:hAnsi="Calibri" w:cs="Calibri"/>
                <w:b/>
                <w:bCs/>
                <w:color w:val="FFFFFF"/>
              </w:rPr>
              <w:t>Aspect</w:t>
            </w:r>
          </w:p>
        </w:tc>
        <w:tc>
          <w:tcPr>
            <w:tcW w:w="3300" w:type="dxa"/>
            <w:shd w:val="clear" w:color="auto" w:fill="1F4E79"/>
            <w:tcMar>
              <w:top w:w="80" w:type="dxa"/>
              <w:left w:w="100" w:type="dxa"/>
              <w:bottom w:w="80" w:type="dxa"/>
              <w:right w:w="100" w:type="dxa"/>
            </w:tcMar>
          </w:tcPr>
          <w:p w14:paraId="53CE21D5" w14:textId="77777777" w:rsidR="00524474" w:rsidRDefault="00000000">
            <w:r>
              <w:rPr>
                <w:rFonts w:ascii="Calibri" w:eastAsia="Calibri" w:hAnsi="Calibri" w:cs="Calibri"/>
                <w:b/>
                <w:bCs/>
                <w:color w:val="FFFFFF"/>
              </w:rPr>
              <w:t>Type-1</w:t>
            </w:r>
          </w:p>
        </w:tc>
        <w:tc>
          <w:tcPr>
            <w:tcW w:w="3500" w:type="dxa"/>
            <w:shd w:val="clear" w:color="auto" w:fill="1F4E79"/>
            <w:tcMar>
              <w:top w:w="80" w:type="dxa"/>
              <w:left w:w="100" w:type="dxa"/>
              <w:bottom w:w="80" w:type="dxa"/>
              <w:right w:w="100" w:type="dxa"/>
            </w:tcMar>
          </w:tcPr>
          <w:p w14:paraId="25F4C751" w14:textId="77777777" w:rsidR="00524474" w:rsidRDefault="00000000">
            <w:r>
              <w:rPr>
                <w:rFonts w:ascii="Calibri" w:eastAsia="Calibri" w:hAnsi="Calibri" w:cs="Calibri"/>
                <w:b/>
                <w:bCs/>
                <w:color w:val="FFFFFF"/>
              </w:rPr>
              <w:t>Type-2</w:t>
            </w:r>
          </w:p>
        </w:tc>
      </w:tr>
      <w:tr w:rsidR="00524474" w14:paraId="34CEA87D" w14:textId="77777777">
        <w:tblPrEx>
          <w:tblCellMar>
            <w:top w:w="0" w:type="dxa"/>
            <w:bottom w:w="0" w:type="dxa"/>
          </w:tblCellMar>
        </w:tblPrEx>
        <w:tc>
          <w:tcPr>
            <w:tcW w:w="2800" w:type="dxa"/>
            <w:shd w:val="clear" w:color="auto" w:fill="F2F6FA"/>
            <w:tcMar>
              <w:top w:w="70" w:type="dxa"/>
              <w:left w:w="100" w:type="dxa"/>
              <w:bottom w:w="70" w:type="dxa"/>
              <w:right w:w="100" w:type="dxa"/>
            </w:tcMar>
          </w:tcPr>
          <w:p w14:paraId="20E08369" w14:textId="77777777" w:rsidR="00524474" w:rsidRDefault="00000000">
            <w:r>
              <w:rPr>
                <w:rFonts w:ascii="Calibri" w:eastAsia="Calibri" w:hAnsi="Calibri" w:cs="Calibri"/>
              </w:rPr>
              <w:t>Centralized management</w:t>
            </w:r>
          </w:p>
        </w:tc>
        <w:tc>
          <w:tcPr>
            <w:tcW w:w="3300" w:type="dxa"/>
            <w:shd w:val="clear" w:color="auto" w:fill="F2F6FA"/>
            <w:tcMar>
              <w:top w:w="70" w:type="dxa"/>
              <w:left w:w="100" w:type="dxa"/>
              <w:bottom w:w="70" w:type="dxa"/>
              <w:right w:w="100" w:type="dxa"/>
            </w:tcMar>
          </w:tcPr>
          <w:p w14:paraId="601E147B" w14:textId="77777777" w:rsidR="00524474" w:rsidRDefault="00000000">
            <w:r>
              <w:rPr>
                <w:rFonts w:ascii="Calibri" w:eastAsia="Calibri" w:hAnsi="Calibri" w:cs="Calibri"/>
              </w:rPr>
              <w:t>Yes — vCenter, SCVMM, XenCenter support fleet-wide policies, clustering, HA, DRS</w:t>
            </w:r>
          </w:p>
        </w:tc>
        <w:tc>
          <w:tcPr>
            <w:tcW w:w="3500" w:type="dxa"/>
            <w:shd w:val="clear" w:color="auto" w:fill="F2F6FA"/>
            <w:tcMar>
              <w:top w:w="70" w:type="dxa"/>
              <w:left w:w="100" w:type="dxa"/>
              <w:bottom w:w="70" w:type="dxa"/>
              <w:right w:w="100" w:type="dxa"/>
            </w:tcMar>
          </w:tcPr>
          <w:p w14:paraId="7D049B81" w14:textId="77777777" w:rsidR="00524474" w:rsidRDefault="00000000">
            <w:r>
              <w:rPr>
                <w:rFonts w:ascii="Calibri" w:eastAsia="Calibri" w:hAnsi="Calibri" w:cs="Calibri"/>
              </w:rPr>
              <w:t>No native fleet management; each instance managed independently</w:t>
            </w:r>
          </w:p>
        </w:tc>
      </w:tr>
      <w:tr w:rsidR="00524474" w14:paraId="115B1A80" w14:textId="77777777">
        <w:tblPrEx>
          <w:tblCellMar>
            <w:top w:w="0" w:type="dxa"/>
            <w:bottom w:w="0" w:type="dxa"/>
          </w:tblCellMar>
        </w:tblPrEx>
        <w:tc>
          <w:tcPr>
            <w:tcW w:w="2800" w:type="dxa"/>
            <w:shd w:val="clear" w:color="auto" w:fill="FFFFFF"/>
            <w:tcMar>
              <w:top w:w="70" w:type="dxa"/>
              <w:left w:w="100" w:type="dxa"/>
              <w:bottom w:w="70" w:type="dxa"/>
              <w:right w:w="100" w:type="dxa"/>
            </w:tcMar>
          </w:tcPr>
          <w:p w14:paraId="77228A5D" w14:textId="77777777" w:rsidR="00524474" w:rsidRDefault="00000000">
            <w:r>
              <w:rPr>
                <w:rFonts w:ascii="Calibri" w:eastAsia="Calibri" w:hAnsi="Calibri" w:cs="Calibri"/>
              </w:rPr>
              <w:t>High availability / clustering</w:t>
            </w:r>
          </w:p>
        </w:tc>
        <w:tc>
          <w:tcPr>
            <w:tcW w:w="3300" w:type="dxa"/>
            <w:shd w:val="clear" w:color="auto" w:fill="FFFFFF"/>
            <w:tcMar>
              <w:top w:w="70" w:type="dxa"/>
              <w:left w:w="100" w:type="dxa"/>
              <w:bottom w:w="70" w:type="dxa"/>
              <w:right w:w="100" w:type="dxa"/>
            </w:tcMar>
          </w:tcPr>
          <w:p w14:paraId="03231284" w14:textId="77777777" w:rsidR="00524474" w:rsidRDefault="00000000">
            <w:r>
              <w:rPr>
                <w:rFonts w:ascii="Calibri" w:eastAsia="Calibri" w:hAnsi="Calibri" w:cs="Calibri"/>
              </w:rPr>
              <w:t>Built-in live migration (vMotion), failover clustering, load balancing</w:t>
            </w:r>
          </w:p>
        </w:tc>
        <w:tc>
          <w:tcPr>
            <w:tcW w:w="3500" w:type="dxa"/>
            <w:shd w:val="clear" w:color="auto" w:fill="FFFFFF"/>
            <w:tcMar>
              <w:top w:w="70" w:type="dxa"/>
              <w:left w:w="100" w:type="dxa"/>
              <w:bottom w:w="70" w:type="dxa"/>
              <w:right w:w="100" w:type="dxa"/>
            </w:tcMar>
          </w:tcPr>
          <w:p w14:paraId="738A07D3" w14:textId="77777777" w:rsidR="00524474" w:rsidRDefault="00000000">
            <w:r>
              <w:rPr>
                <w:rFonts w:ascii="Calibri" w:eastAsia="Calibri" w:hAnsi="Calibri" w:cs="Calibri"/>
              </w:rPr>
              <w:t>Not natively supported; requires manual intervention</w:t>
            </w:r>
          </w:p>
        </w:tc>
      </w:tr>
      <w:tr w:rsidR="00524474" w14:paraId="537C9F5F" w14:textId="77777777">
        <w:tblPrEx>
          <w:tblCellMar>
            <w:top w:w="0" w:type="dxa"/>
            <w:bottom w:w="0" w:type="dxa"/>
          </w:tblCellMar>
        </w:tblPrEx>
        <w:tc>
          <w:tcPr>
            <w:tcW w:w="2800" w:type="dxa"/>
            <w:shd w:val="clear" w:color="auto" w:fill="F2F6FA"/>
            <w:tcMar>
              <w:top w:w="70" w:type="dxa"/>
              <w:left w:w="100" w:type="dxa"/>
              <w:bottom w:w="70" w:type="dxa"/>
              <w:right w:w="100" w:type="dxa"/>
            </w:tcMar>
          </w:tcPr>
          <w:p w14:paraId="6F1459D1" w14:textId="77777777" w:rsidR="00524474" w:rsidRDefault="00000000">
            <w:r>
              <w:rPr>
                <w:rFonts w:ascii="Calibri" w:eastAsia="Calibri" w:hAnsi="Calibri" w:cs="Calibri"/>
              </w:rPr>
              <w:t>Automation &amp; orchestration</w:t>
            </w:r>
          </w:p>
        </w:tc>
        <w:tc>
          <w:tcPr>
            <w:tcW w:w="3300" w:type="dxa"/>
            <w:shd w:val="clear" w:color="auto" w:fill="F2F6FA"/>
            <w:tcMar>
              <w:top w:w="70" w:type="dxa"/>
              <w:left w:w="100" w:type="dxa"/>
              <w:bottom w:w="70" w:type="dxa"/>
              <w:right w:w="100" w:type="dxa"/>
            </w:tcMar>
          </w:tcPr>
          <w:p w14:paraId="7AC6A567" w14:textId="77777777" w:rsidR="00524474" w:rsidRDefault="00000000">
            <w:r>
              <w:rPr>
                <w:rFonts w:ascii="Calibri" w:eastAsia="Calibri" w:hAnsi="Calibri" w:cs="Calibri"/>
              </w:rPr>
              <w:t>Rich APIs for integration with cloud orchestrators (OpenStack, Kubernetes, Terraform)</w:t>
            </w:r>
          </w:p>
        </w:tc>
        <w:tc>
          <w:tcPr>
            <w:tcW w:w="3500" w:type="dxa"/>
            <w:shd w:val="clear" w:color="auto" w:fill="F2F6FA"/>
            <w:tcMar>
              <w:top w:w="70" w:type="dxa"/>
              <w:left w:w="100" w:type="dxa"/>
              <w:bottom w:w="70" w:type="dxa"/>
              <w:right w:w="100" w:type="dxa"/>
            </w:tcMar>
          </w:tcPr>
          <w:p w14:paraId="31C451A3" w14:textId="77777777" w:rsidR="00524474" w:rsidRDefault="00000000">
            <w:r>
              <w:rPr>
                <w:rFonts w:ascii="Calibri" w:eastAsia="Calibri" w:hAnsi="Calibri" w:cs="Calibri"/>
              </w:rPr>
              <w:t>Limited automation; mainly desktop-oriented tooling</w:t>
            </w:r>
          </w:p>
        </w:tc>
      </w:tr>
      <w:tr w:rsidR="00524474" w14:paraId="28EF9E28" w14:textId="77777777">
        <w:tblPrEx>
          <w:tblCellMar>
            <w:top w:w="0" w:type="dxa"/>
            <w:bottom w:w="0" w:type="dxa"/>
          </w:tblCellMar>
        </w:tblPrEx>
        <w:tc>
          <w:tcPr>
            <w:tcW w:w="2800" w:type="dxa"/>
            <w:shd w:val="clear" w:color="auto" w:fill="FFFFFF"/>
            <w:tcMar>
              <w:top w:w="70" w:type="dxa"/>
              <w:left w:w="100" w:type="dxa"/>
              <w:bottom w:w="70" w:type="dxa"/>
              <w:right w:w="100" w:type="dxa"/>
            </w:tcMar>
          </w:tcPr>
          <w:p w14:paraId="6EFAF273" w14:textId="77777777" w:rsidR="00524474" w:rsidRDefault="00000000">
            <w:r>
              <w:rPr>
                <w:rFonts w:ascii="Calibri" w:eastAsia="Calibri" w:hAnsi="Calibri" w:cs="Calibri"/>
              </w:rPr>
              <w:t>Maintenance overhead</w:t>
            </w:r>
          </w:p>
        </w:tc>
        <w:tc>
          <w:tcPr>
            <w:tcW w:w="3300" w:type="dxa"/>
            <w:shd w:val="clear" w:color="auto" w:fill="FFFFFF"/>
            <w:tcMar>
              <w:top w:w="70" w:type="dxa"/>
              <w:left w:w="100" w:type="dxa"/>
              <w:bottom w:w="70" w:type="dxa"/>
              <w:right w:w="100" w:type="dxa"/>
            </w:tcMar>
          </w:tcPr>
          <w:p w14:paraId="2C34180B" w14:textId="77777777" w:rsidR="00524474" w:rsidRDefault="00000000">
            <w:r>
              <w:rPr>
                <w:rFonts w:ascii="Calibri" w:eastAsia="Calibri" w:hAnsi="Calibri" w:cs="Calibri"/>
              </w:rPr>
              <w:t>Lower — single-purpose system, automated patch/update workflows</w:t>
            </w:r>
          </w:p>
        </w:tc>
        <w:tc>
          <w:tcPr>
            <w:tcW w:w="3500" w:type="dxa"/>
            <w:shd w:val="clear" w:color="auto" w:fill="FFFFFF"/>
            <w:tcMar>
              <w:top w:w="70" w:type="dxa"/>
              <w:left w:w="100" w:type="dxa"/>
              <w:bottom w:w="70" w:type="dxa"/>
              <w:right w:w="100" w:type="dxa"/>
            </w:tcMar>
          </w:tcPr>
          <w:p w14:paraId="658B37FC" w14:textId="77777777" w:rsidR="00524474" w:rsidRDefault="00000000">
            <w:r>
              <w:rPr>
                <w:rFonts w:ascii="Calibri" w:eastAsia="Calibri" w:hAnsi="Calibri" w:cs="Calibri"/>
              </w:rPr>
              <w:t>Higher — must maintain both host OS and hypervisor application</w:t>
            </w:r>
          </w:p>
        </w:tc>
      </w:tr>
    </w:tbl>
    <w:p w14:paraId="0B9335AF"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6. Justification of the Better Choice</w:t>
      </w:r>
    </w:p>
    <w:p w14:paraId="297F2330" w14:textId="77777777" w:rsidR="00524474" w:rsidRDefault="00000000">
      <w:pPr>
        <w:spacing w:after="120" w:line="300" w:lineRule="auto"/>
        <w:jc w:val="both"/>
      </w:pPr>
      <w:r>
        <w:rPr>
          <w:rFonts w:ascii="Calibri" w:eastAsia="Calibri" w:hAnsi="Calibri" w:cs="Calibri"/>
          <w:sz w:val="22"/>
          <w:szCs w:val="22"/>
        </w:rPr>
        <w:lastRenderedPageBreak/>
        <w:t>For a cloud datacenter hosting mission-critical applications, the Type-1 (bare-metal) hypervisor is unambiguously the better choice. The justification rests on three converging factors: (1) Performance — direct hardware access and a purpose-built scheduler deliver the low-latency, high-throughput, and predictable behavior that mission-critical SLAs demand; (2) Security — the elimination of a general-purpose host OS drastically reduces the attack surface and enforces stronger isolation, which is non-negotiable when hosting regulated or sensitive workloads; (3) Manageability — native clustering, live migration, high availability, and orchestration integration allow the datacenter to scale, self-heal, and meet uptime targets with far less manual effort. Type-2 hypervisors remain valuable for development, testing, and training scenarios where convenience and desktop integration outweigh the need for production-grade performance and isolation, but they are not appropriate for a production cloud datacenter.</w:t>
      </w:r>
    </w:p>
    <w:p w14:paraId="0D75AD26" w14:textId="77777777" w:rsidR="00524474" w:rsidRDefault="00000000">
      <w:r>
        <w:br w:type="page"/>
      </w:r>
    </w:p>
    <w:p w14:paraId="768053EF" w14:textId="77777777" w:rsidR="00524474" w:rsidRDefault="00000000">
      <w:pPr>
        <w:shd w:val="clear" w:color="auto" w:fill="DCE6F1"/>
        <w:spacing w:before="100" w:after="200"/>
      </w:pPr>
      <w:r>
        <w:rPr>
          <w:rFonts w:ascii="Calibri" w:eastAsia="Calibri" w:hAnsi="Calibri" w:cs="Calibri"/>
          <w:b/>
          <w:bCs/>
          <w:color w:val="1F4E79"/>
          <w:sz w:val="26"/>
          <w:szCs w:val="26"/>
        </w:rPr>
        <w:lastRenderedPageBreak/>
        <w:t xml:space="preserve">Question 2: </w:t>
      </w:r>
      <w:r>
        <w:rPr>
          <w:rFonts w:ascii="Calibri" w:eastAsia="Calibri" w:hAnsi="Calibri" w:cs="Calibri"/>
          <w:b/>
          <w:bCs/>
          <w:sz w:val="26"/>
          <w:szCs w:val="26"/>
        </w:rPr>
        <w:t>A cloud provider must isolate workloads belonging to finance, healthcare, and student portals on the same hardware. Analyze how virtualization architecture supports isolation and identify two major attack surfaces.</w:t>
      </w:r>
    </w:p>
    <w:p w14:paraId="3420DC74"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1. The Isolation Requirement</w:t>
      </w:r>
    </w:p>
    <w:p w14:paraId="6BB625E1" w14:textId="77777777" w:rsidR="00524474" w:rsidRDefault="00000000">
      <w:pPr>
        <w:spacing w:after="120" w:line="300" w:lineRule="auto"/>
        <w:jc w:val="both"/>
      </w:pPr>
      <w:r>
        <w:rPr>
          <w:rFonts w:ascii="Calibri" w:eastAsia="Calibri" w:hAnsi="Calibri" w:cs="Calibri"/>
          <w:sz w:val="22"/>
          <w:szCs w:val="22"/>
        </w:rPr>
        <w:t>When a single cloud provider hosts finance-sector applications (subject to PCI-DSS and financial regulation), healthcare applications (subject to HIPAA and patient-data confidentiality rules), and low-sensitivity student portal applications on shared physical hardware, strict logical isolation must substitute for the physical separation that dedicated hardware would otherwise provide. A breach or performance fault in one tenant's workload must never leak data into, or degrade performance of, another tenant's workload. This is the foundation of secure multi-tenancy in cloud computing.</w:t>
      </w:r>
    </w:p>
    <w:p w14:paraId="45D81D7A"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2. How Virtualization Architecture Supports Isolation</w:t>
      </w:r>
    </w:p>
    <w:p w14:paraId="0EEFAB2A" w14:textId="77777777" w:rsidR="00524474" w:rsidRDefault="00000000">
      <w:pPr>
        <w:pStyle w:val="Heading2"/>
        <w:spacing w:before="220" w:after="100"/>
      </w:pPr>
      <w:r>
        <w:rPr>
          <w:rFonts w:ascii="Calibri" w:eastAsia="Calibri" w:hAnsi="Calibri" w:cs="Calibri"/>
          <w:b/>
          <w:bCs/>
          <w:color w:val="1F4E79"/>
          <w:sz w:val="24"/>
          <w:szCs w:val="24"/>
        </w:rPr>
        <w:t>2.1 Hypervisor-Enforced Isolation</w:t>
      </w:r>
    </w:p>
    <w:p w14:paraId="1B861592" w14:textId="77777777" w:rsidR="00524474" w:rsidRDefault="00000000">
      <w:pPr>
        <w:spacing w:after="120" w:line="300" w:lineRule="auto"/>
        <w:jc w:val="both"/>
      </w:pPr>
      <w:r>
        <w:rPr>
          <w:rFonts w:ascii="Calibri" w:eastAsia="Calibri" w:hAnsi="Calibri" w:cs="Calibri"/>
          <w:sz w:val="22"/>
          <w:szCs w:val="22"/>
        </w:rPr>
        <w:t>The hypervisor acts as the trusted mediator between all VMs and the physical hardware. Each VM is presented with its own virtualized CPU, memory address space, and virtual devices. Hardware-assisted virtualization extensions (Intel VT-x/VT-d, AMD-V/AMD-Vi) allow the hypervisor to trap and control every privileged instruction a guest attempts, preventing one VM from directly reading or writing another VM's memory or from accessing hardware it has not been explicitly granted.</w:t>
      </w:r>
    </w:p>
    <w:p w14:paraId="01F63512" w14:textId="77777777" w:rsidR="00524474" w:rsidRDefault="00000000">
      <w:pPr>
        <w:pStyle w:val="Heading2"/>
        <w:spacing w:before="220" w:after="100"/>
      </w:pPr>
      <w:r>
        <w:rPr>
          <w:rFonts w:ascii="Calibri" w:eastAsia="Calibri" w:hAnsi="Calibri" w:cs="Calibri"/>
          <w:b/>
          <w:bCs/>
          <w:color w:val="1F4E79"/>
          <w:sz w:val="24"/>
          <w:szCs w:val="24"/>
        </w:rPr>
        <w:t>2.2 Compute Isolation</w:t>
      </w:r>
    </w:p>
    <w:p w14:paraId="5D5E9B66" w14:textId="77777777" w:rsidR="00524474" w:rsidRDefault="00000000">
      <w:pPr>
        <w:spacing w:after="120" w:line="300" w:lineRule="auto"/>
        <w:jc w:val="both"/>
      </w:pPr>
      <w:r>
        <w:rPr>
          <w:rFonts w:ascii="Calibri" w:eastAsia="Calibri" w:hAnsi="Calibri" w:cs="Calibri"/>
          <w:sz w:val="22"/>
          <w:szCs w:val="22"/>
        </w:rPr>
        <w:t>CPU scheduling assigns each VM (or container) a bounded share of processor time and can use techniques such as CPU pinning and NUMA-aware placement so that, for example, the finance workload's VMs never share a physical core's cache in a way that permits side-channel leakage into the student-portal VMs. Resource limits and reservations (CPU shares, min/max quotas) also guarantee that a spike in the student portal cannot starve the finance workload — providing performance isolation, not just security isolation.</w:t>
      </w:r>
    </w:p>
    <w:p w14:paraId="117C8A2D" w14:textId="77777777" w:rsidR="00524474" w:rsidRDefault="00000000">
      <w:pPr>
        <w:pStyle w:val="Heading2"/>
        <w:spacing w:before="220" w:after="100"/>
      </w:pPr>
      <w:r>
        <w:rPr>
          <w:rFonts w:ascii="Calibri" w:eastAsia="Calibri" w:hAnsi="Calibri" w:cs="Calibri"/>
          <w:b/>
          <w:bCs/>
          <w:color w:val="1F4E79"/>
          <w:sz w:val="24"/>
          <w:szCs w:val="24"/>
        </w:rPr>
        <w:t>2.3 Memory Isolation</w:t>
      </w:r>
    </w:p>
    <w:p w14:paraId="71CD9CF6" w14:textId="77777777" w:rsidR="00524474" w:rsidRDefault="00000000">
      <w:pPr>
        <w:spacing w:after="120" w:line="300" w:lineRule="auto"/>
        <w:jc w:val="both"/>
      </w:pPr>
      <w:r>
        <w:rPr>
          <w:rFonts w:ascii="Calibri" w:eastAsia="Calibri" w:hAnsi="Calibri" w:cs="Calibri"/>
          <w:sz w:val="22"/>
          <w:szCs w:val="22"/>
        </w:rPr>
        <w:t>Second Level Address Translation (SLAT/EPT/NPT) ensures each VM's guest-physical addresses are independently mapped to host-physical addresses by the hypervisor, so a healthcare VM cannot address memory pages belonging to a finance VM. Memory is zeroed/scrubbed before reallocation to prevent residual-data leakage between tenants.</w:t>
      </w:r>
    </w:p>
    <w:p w14:paraId="780B878B" w14:textId="77777777" w:rsidR="00524474" w:rsidRDefault="00000000">
      <w:pPr>
        <w:pStyle w:val="Heading2"/>
        <w:spacing w:before="220" w:after="100"/>
      </w:pPr>
      <w:r>
        <w:rPr>
          <w:rFonts w:ascii="Calibri" w:eastAsia="Calibri" w:hAnsi="Calibri" w:cs="Calibri"/>
          <w:b/>
          <w:bCs/>
          <w:color w:val="1F4E79"/>
          <w:sz w:val="24"/>
          <w:szCs w:val="24"/>
        </w:rPr>
        <w:t>2.4 Storage Isolation</w:t>
      </w:r>
    </w:p>
    <w:p w14:paraId="6D5BDB33" w14:textId="77777777" w:rsidR="00524474" w:rsidRDefault="00000000">
      <w:pPr>
        <w:spacing w:after="120" w:line="300" w:lineRule="auto"/>
        <w:jc w:val="both"/>
      </w:pPr>
      <w:r>
        <w:rPr>
          <w:rFonts w:ascii="Calibri" w:eastAsia="Calibri" w:hAnsi="Calibri" w:cs="Calibri"/>
          <w:sz w:val="22"/>
          <w:szCs w:val="22"/>
        </w:rPr>
        <w:t>Virtual disks are presented as independent, per-VM logical volumes (VMDK/VHDX/qcow2) backed by storage virtualization (SAN/NAS with LUN masking, or software-defined storage with per-tenant volumes and encryption keys). This prevents the healthcare tenant's virtual disk from being visible to, or mountable by, the finance tenant.</w:t>
      </w:r>
    </w:p>
    <w:p w14:paraId="77F52F88" w14:textId="77777777" w:rsidR="00524474" w:rsidRDefault="00000000">
      <w:pPr>
        <w:pStyle w:val="Heading2"/>
        <w:spacing w:before="220" w:after="100"/>
      </w:pPr>
      <w:r>
        <w:rPr>
          <w:rFonts w:ascii="Calibri" w:eastAsia="Calibri" w:hAnsi="Calibri" w:cs="Calibri"/>
          <w:b/>
          <w:bCs/>
          <w:color w:val="1F4E79"/>
          <w:sz w:val="24"/>
          <w:szCs w:val="24"/>
        </w:rPr>
        <w:t>2.5 Network Isolation</w:t>
      </w:r>
    </w:p>
    <w:p w14:paraId="142D65ED" w14:textId="77777777" w:rsidR="00524474" w:rsidRDefault="00000000">
      <w:pPr>
        <w:spacing w:after="120" w:line="300" w:lineRule="auto"/>
        <w:jc w:val="both"/>
      </w:pPr>
      <w:r>
        <w:rPr>
          <w:rFonts w:ascii="Calibri" w:eastAsia="Calibri" w:hAnsi="Calibri" w:cs="Calibri"/>
          <w:sz w:val="22"/>
          <w:szCs w:val="22"/>
        </w:rPr>
        <w:lastRenderedPageBreak/>
        <w:t>Network virtualization (VLANs, VXLAN overlays, software-defined networking, and micro-segmentation via virtual firewalls) ensures traffic from the three workload classes cannot intermix. Each tenant is placed in its own virtual network/security group, with explicit, auditable rules governing any cross-tenant communication — typically none by default (zero-trust, deny-by-default posture).</w:t>
      </w:r>
    </w:p>
    <w:p w14:paraId="2CABEFC5" w14:textId="77777777" w:rsidR="00524474" w:rsidRDefault="00000000">
      <w:pPr>
        <w:pStyle w:val="Heading2"/>
        <w:spacing w:before="220" w:after="100"/>
      </w:pPr>
      <w:r>
        <w:rPr>
          <w:rFonts w:ascii="Calibri" w:eastAsia="Calibri" w:hAnsi="Calibri" w:cs="Calibri"/>
          <w:b/>
          <w:bCs/>
          <w:color w:val="1F4E79"/>
          <w:sz w:val="24"/>
          <w:szCs w:val="24"/>
        </w:rPr>
        <w:t>2.6 Additional Architectural Controls</w:t>
      </w:r>
    </w:p>
    <w:p w14:paraId="5B1A14A8"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Cluster segregation:</w:t>
      </w:r>
      <w:r>
        <w:rPr>
          <w:rFonts w:ascii="Calibri" w:eastAsia="Calibri" w:hAnsi="Calibri" w:cs="Calibri"/>
          <w:sz w:val="22"/>
          <w:szCs w:val="22"/>
        </w:rPr>
        <w:t xml:space="preserve"> Dedicated resource pools or clusters: finance and healthcare workloads can be placed on separate host clusters from lower-trust student workloads (a hybrid of logical and semi-physical isolation) to reduce shared-hardware risk for the most sensitive tenants.</w:t>
      </w:r>
    </w:p>
    <w:p w14:paraId="129764CC"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Encryption:</w:t>
      </w:r>
      <w:r>
        <w:rPr>
          <w:rFonts w:ascii="Calibri" w:eastAsia="Calibri" w:hAnsi="Calibri" w:cs="Calibri"/>
          <w:sz w:val="22"/>
          <w:szCs w:val="22"/>
        </w:rPr>
        <w:t xml:space="preserve"> Encryption at rest and in transit, with per-tenant key management (e.g., separate keys in a KMS/HSM), ensures that even a storage-level compromise does not expose plaintext data across tenants.</w:t>
      </w:r>
    </w:p>
    <w:p w14:paraId="5502B1F0"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Identity &amp; access control:</w:t>
      </w:r>
      <w:r>
        <w:rPr>
          <w:rFonts w:ascii="Calibri" w:eastAsia="Calibri" w:hAnsi="Calibri" w:cs="Calibri"/>
          <w:sz w:val="22"/>
          <w:szCs w:val="22"/>
        </w:rPr>
        <w:t xml:space="preserve"> Fine-grained IAM policies and role-based access control (RBAC) prevent administrators or automation scripts scoped to one tenant from touching another tenant's resources.</w:t>
      </w:r>
    </w:p>
    <w:p w14:paraId="63711722"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3. Two Major Attack Surfaces</w:t>
      </w:r>
    </w:p>
    <w:p w14:paraId="0491501E" w14:textId="77777777" w:rsidR="00524474" w:rsidRDefault="00000000">
      <w:pPr>
        <w:pStyle w:val="Heading2"/>
        <w:spacing w:before="220" w:after="100"/>
      </w:pPr>
      <w:r>
        <w:rPr>
          <w:rFonts w:ascii="Calibri" w:eastAsia="Calibri" w:hAnsi="Calibri" w:cs="Calibri"/>
          <w:b/>
          <w:bCs/>
          <w:color w:val="1F4E79"/>
          <w:sz w:val="24"/>
          <w:szCs w:val="24"/>
        </w:rPr>
        <w:t>3.1 Attack Surface 1 — Hypervisor / VM Escape Vulnerabilities</w:t>
      </w:r>
    </w:p>
    <w:p w14:paraId="55BB3D6E" w14:textId="77777777" w:rsidR="00524474" w:rsidRDefault="00000000">
      <w:pPr>
        <w:spacing w:after="120" w:line="300" w:lineRule="auto"/>
        <w:jc w:val="both"/>
      </w:pPr>
      <w:r>
        <w:rPr>
          <w:rFonts w:ascii="Calibri" w:eastAsia="Calibri" w:hAnsi="Calibri" w:cs="Calibri"/>
          <w:sz w:val="22"/>
          <w:szCs w:val="22"/>
        </w:rPr>
        <w:t>The hypervisor is the single most privileged component in the stack, and any flaw in its device emulation, memory-management, or inter-VM communication code can allow a malicious or compromised guest VM to break out of its isolation boundary and gain access to the host or to a co-resident VM (a 'VM escape'). Historical examples include the VENOM (CVE-2015-3456) floppy-disk-controller flaw in QEMU and various Xen/VMware hypercall bugs. In the finance–healthcare–student scenario, a vulnerability exploited from the (typically lower-security-hygiene) student-portal VM could, in the worst case, be leveraged to pivot into the same physical host's finance or healthcare VMs. Mitigation requires rapid hypervisor patching, minimizing emulated device surface, using hardware IOMMU protections (VT-d/AMD-Vi), and where risk tolerance is low, placing highly regulated tenants on separate physical clusters.</w:t>
      </w:r>
    </w:p>
    <w:p w14:paraId="0B307716" w14:textId="77777777" w:rsidR="00524474" w:rsidRDefault="00000000">
      <w:pPr>
        <w:pStyle w:val="Heading2"/>
        <w:spacing w:before="220" w:after="100"/>
      </w:pPr>
      <w:r>
        <w:rPr>
          <w:rFonts w:ascii="Calibri" w:eastAsia="Calibri" w:hAnsi="Calibri" w:cs="Calibri"/>
          <w:b/>
          <w:bCs/>
          <w:color w:val="1F4E79"/>
          <w:sz w:val="24"/>
          <w:szCs w:val="24"/>
        </w:rPr>
        <w:t>3.2 Attack Surface 2 — Side-Channel and Shared-Resource Attacks</w:t>
      </w:r>
    </w:p>
    <w:p w14:paraId="5D553D77" w14:textId="77777777" w:rsidR="00524474" w:rsidRDefault="00000000">
      <w:pPr>
        <w:spacing w:after="120" w:line="300" w:lineRule="auto"/>
        <w:jc w:val="both"/>
      </w:pPr>
      <w:r>
        <w:rPr>
          <w:rFonts w:ascii="Calibri" w:eastAsia="Calibri" w:hAnsi="Calibri" w:cs="Calibri"/>
          <w:sz w:val="22"/>
          <w:szCs w:val="22"/>
        </w:rPr>
        <w:t>Even without breaking the formal isolation boundary, co-located VMs share underlying physical resources — CPU caches, memory bus, branch predictors, and sometimes network interfaces. Attacks such as cache-timing side channels (e.g., Flush+Reload), speculative-execution vulnerabilities (Spectre, Meltdown, MDS/RIDL/Fallout, Hertzbleed), and 'noisy neighbor' resource-contention effects can allow a co-resident attacker VM to infer secrets (encryption keys, memory contents) or degrade the performance of a victim VM without ever crossing the hypervisor's formal address-space boundary. Because the finance and healthcare tenants are prime targets for data exfiltration, this class of attack is especially dangerous when tenants of very different trust levels (a public-facing student portal versus a regulated financial system) share the same physical socket. Mitigation includes cache partitioning (Intel CAT), disabling simultaneous multithreading (SMT) for sensitive VMs, microcode/firmware updates for speculative-execution mitigations, and scheduling policies that avoid co-locating high-trust and low-trust tenants on the same physical core.</w:t>
      </w:r>
    </w:p>
    <w:p w14:paraId="2A23DA18"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lastRenderedPageBreak/>
        <w:t>4. Conclusion</w:t>
      </w:r>
    </w:p>
    <w:p w14:paraId="3C7298B8" w14:textId="77777777" w:rsidR="00524474" w:rsidRDefault="00000000">
      <w:pPr>
        <w:spacing w:after="120" w:line="300" w:lineRule="auto"/>
        <w:jc w:val="both"/>
      </w:pPr>
      <w:r>
        <w:rPr>
          <w:rFonts w:ascii="Calibri" w:eastAsia="Calibri" w:hAnsi="Calibri" w:cs="Calibri"/>
          <w:sz w:val="22"/>
          <w:szCs w:val="22"/>
        </w:rPr>
        <w:t>Virtualization architecture provides multi-layered isolation — compute, memory, storage, and network — enforced primarily by the hypervisor and reinforced by hardware virtualization extensions, encryption, and access control. However, isolation is not absolute: the hypervisor itself and the physical resources shared beneath the virtualization layer remain two major attack surfaces that a cloud provider must continuously monitor, patch, and architecturally mitigate to safely co-host workloads of differing sensitivity such as finance, healthcare, and student portals.</w:t>
      </w:r>
    </w:p>
    <w:p w14:paraId="1359A80F" w14:textId="77777777" w:rsidR="00524474" w:rsidRDefault="00000000">
      <w:r>
        <w:br w:type="page"/>
      </w:r>
    </w:p>
    <w:p w14:paraId="7190F96C" w14:textId="77777777" w:rsidR="00524474" w:rsidRDefault="00000000">
      <w:pPr>
        <w:shd w:val="clear" w:color="auto" w:fill="DCE6F1"/>
        <w:spacing w:before="100" w:after="200"/>
      </w:pPr>
      <w:r>
        <w:rPr>
          <w:rFonts w:ascii="Calibri" w:eastAsia="Calibri" w:hAnsi="Calibri" w:cs="Calibri"/>
          <w:b/>
          <w:bCs/>
          <w:color w:val="1F4E79"/>
          <w:sz w:val="26"/>
          <w:szCs w:val="26"/>
        </w:rPr>
        <w:lastRenderedPageBreak/>
        <w:t xml:space="preserve">Question 3: </w:t>
      </w:r>
      <w:r>
        <w:rPr>
          <w:rFonts w:ascii="Calibri" w:eastAsia="Calibri" w:hAnsi="Calibri" w:cs="Calibri"/>
          <w:b/>
          <w:bCs/>
          <w:sz w:val="26"/>
          <w:szCs w:val="26"/>
        </w:rPr>
        <w:t>Study the following VM host utilization snapshot and recommend corrective actions: CPU 92%, Memory 88%, Storage I/O latency 35 ms, Average VM boot time 170 s. Explain the likely bottlenecks.</w:t>
      </w:r>
    </w:p>
    <w:p w14:paraId="61BDAA5B"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1. Snapshot Summary</w:t>
      </w:r>
    </w:p>
    <w:tbl>
      <w:tblPr>
        <w:tblW w:w="10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400"/>
        <w:gridCol w:w="3200"/>
        <w:gridCol w:w="2000"/>
      </w:tblGrid>
      <w:tr w:rsidR="00524474" w14:paraId="37A2A4E9" w14:textId="77777777">
        <w:tblPrEx>
          <w:tblCellMar>
            <w:top w:w="0" w:type="dxa"/>
            <w:bottom w:w="0" w:type="dxa"/>
          </w:tblCellMar>
        </w:tblPrEx>
        <w:trPr>
          <w:tblHeader/>
        </w:trPr>
        <w:tc>
          <w:tcPr>
            <w:tcW w:w="3000" w:type="dxa"/>
            <w:shd w:val="clear" w:color="auto" w:fill="1F4E79"/>
            <w:tcMar>
              <w:top w:w="80" w:type="dxa"/>
              <w:left w:w="100" w:type="dxa"/>
              <w:bottom w:w="80" w:type="dxa"/>
              <w:right w:w="100" w:type="dxa"/>
            </w:tcMar>
          </w:tcPr>
          <w:p w14:paraId="443D444B" w14:textId="77777777" w:rsidR="00524474" w:rsidRDefault="00000000">
            <w:r>
              <w:rPr>
                <w:rFonts w:ascii="Calibri" w:eastAsia="Calibri" w:hAnsi="Calibri" w:cs="Calibri"/>
                <w:b/>
                <w:bCs/>
                <w:color w:val="FFFFFF"/>
              </w:rPr>
              <w:t>Metric</w:t>
            </w:r>
          </w:p>
        </w:tc>
        <w:tc>
          <w:tcPr>
            <w:tcW w:w="2400" w:type="dxa"/>
            <w:shd w:val="clear" w:color="auto" w:fill="1F4E79"/>
            <w:tcMar>
              <w:top w:w="80" w:type="dxa"/>
              <w:left w:w="100" w:type="dxa"/>
              <w:bottom w:w="80" w:type="dxa"/>
              <w:right w:w="100" w:type="dxa"/>
            </w:tcMar>
          </w:tcPr>
          <w:p w14:paraId="7D71C5E9" w14:textId="77777777" w:rsidR="00524474" w:rsidRDefault="00000000">
            <w:r>
              <w:rPr>
                <w:rFonts w:ascii="Calibri" w:eastAsia="Calibri" w:hAnsi="Calibri" w:cs="Calibri"/>
                <w:b/>
                <w:bCs/>
                <w:color w:val="FFFFFF"/>
              </w:rPr>
              <w:t>Observed Value</w:t>
            </w:r>
          </w:p>
        </w:tc>
        <w:tc>
          <w:tcPr>
            <w:tcW w:w="3200" w:type="dxa"/>
            <w:shd w:val="clear" w:color="auto" w:fill="1F4E79"/>
            <w:tcMar>
              <w:top w:w="80" w:type="dxa"/>
              <w:left w:w="100" w:type="dxa"/>
              <w:bottom w:w="80" w:type="dxa"/>
              <w:right w:w="100" w:type="dxa"/>
            </w:tcMar>
          </w:tcPr>
          <w:p w14:paraId="10C28597" w14:textId="77777777" w:rsidR="00524474" w:rsidRDefault="00000000">
            <w:r>
              <w:rPr>
                <w:rFonts w:ascii="Calibri" w:eastAsia="Calibri" w:hAnsi="Calibri" w:cs="Calibri"/>
                <w:b/>
                <w:bCs/>
                <w:color w:val="FFFFFF"/>
              </w:rPr>
              <w:t>Healthy Reference Range</w:t>
            </w:r>
          </w:p>
        </w:tc>
        <w:tc>
          <w:tcPr>
            <w:tcW w:w="2000" w:type="dxa"/>
            <w:shd w:val="clear" w:color="auto" w:fill="1F4E79"/>
            <w:tcMar>
              <w:top w:w="80" w:type="dxa"/>
              <w:left w:w="100" w:type="dxa"/>
              <w:bottom w:w="80" w:type="dxa"/>
              <w:right w:w="100" w:type="dxa"/>
            </w:tcMar>
          </w:tcPr>
          <w:p w14:paraId="118BB4C5" w14:textId="77777777" w:rsidR="00524474" w:rsidRDefault="00000000">
            <w:r>
              <w:rPr>
                <w:rFonts w:ascii="Calibri" w:eastAsia="Calibri" w:hAnsi="Calibri" w:cs="Calibri"/>
                <w:b/>
                <w:bCs/>
                <w:color w:val="FFFFFF"/>
              </w:rPr>
              <w:t>Status</w:t>
            </w:r>
          </w:p>
        </w:tc>
      </w:tr>
      <w:tr w:rsidR="00524474" w14:paraId="6133B125" w14:textId="77777777">
        <w:tblPrEx>
          <w:tblCellMar>
            <w:top w:w="0" w:type="dxa"/>
            <w:bottom w:w="0" w:type="dxa"/>
          </w:tblCellMar>
        </w:tblPrEx>
        <w:tc>
          <w:tcPr>
            <w:tcW w:w="3000" w:type="dxa"/>
            <w:shd w:val="clear" w:color="auto" w:fill="F2F6FA"/>
            <w:tcMar>
              <w:top w:w="70" w:type="dxa"/>
              <w:left w:w="100" w:type="dxa"/>
              <w:bottom w:w="70" w:type="dxa"/>
              <w:right w:w="100" w:type="dxa"/>
            </w:tcMar>
          </w:tcPr>
          <w:p w14:paraId="759D5316" w14:textId="77777777" w:rsidR="00524474" w:rsidRDefault="00000000">
            <w:r>
              <w:rPr>
                <w:rFonts w:ascii="Calibri" w:eastAsia="Calibri" w:hAnsi="Calibri" w:cs="Calibri"/>
              </w:rPr>
              <w:t>CPU Utilization</w:t>
            </w:r>
          </w:p>
        </w:tc>
        <w:tc>
          <w:tcPr>
            <w:tcW w:w="2400" w:type="dxa"/>
            <w:shd w:val="clear" w:color="auto" w:fill="F2F6FA"/>
            <w:tcMar>
              <w:top w:w="70" w:type="dxa"/>
              <w:left w:w="100" w:type="dxa"/>
              <w:bottom w:w="70" w:type="dxa"/>
              <w:right w:w="100" w:type="dxa"/>
            </w:tcMar>
          </w:tcPr>
          <w:p w14:paraId="2F896808" w14:textId="77777777" w:rsidR="00524474" w:rsidRDefault="00000000">
            <w:r>
              <w:rPr>
                <w:rFonts w:ascii="Calibri" w:eastAsia="Calibri" w:hAnsi="Calibri" w:cs="Calibri"/>
              </w:rPr>
              <w:t>92%</w:t>
            </w:r>
          </w:p>
        </w:tc>
        <w:tc>
          <w:tcPr>
            <w:tcW w:w="3200" w:type="dxa"/>
            <w:shd w:val="clear" w:color="auto" w:fill="F2F6FA"/>
            <w:tcMar>
              <w:top w:w="70" w:type="dxa"/>
              <w:left w:w="100" w:type="dxa"/>
              <w:bottom w:w="70" w:type="dxa"/>
              <w:right w:w="100" w:type="dxa"/>
            </w:tcMar>
          </w:tcPr>
          <w:p w14:paraId="4568CA41" w14:textId="77777777" w:rsidR="00524474" w:rsidRDefault="00000000">
            <w:r>
              <w:rPr>
                <w:rFonts w:ascii="Calibri" w:eastAsia="Calibri" w:hAnsi="Calibri" w:cs="Calibri"/>
              </w:rPr>
              <w:t>&lt; 75–80% sustained</w:t>
            </w:r>
          </w:p>
        </w:tc>
        <w:tc>
          <w:tcPr>
            <w:tcW w:w="2000" w:type="dxa"/>
            <w:shd w:val="clear" w:color="auto" w:fill="F2F6FA"/>
            <w:tcMar>
              <w:top w:w="70" w:type="dxa"/>
              <w:left w:w="100" w:type="dxa"/>
              <w:bottom w:w="70" w:type="dxa"/>
              <w:right w:w="100" w:type="dxa"/>
            </w:tcMar>
          </w:tcPr>
          <w:p w14:paraId="6024072A" w14:textId="77777777" w:rsidR="00524474" w:rsidRDefault="00000000">
            <w:r>
              <w:rPr>
                <w:rFonts w:ascii="Calibri" w:eastAsia="Calibri" w:hAnsi="Calibri" w:cs="Calibri"/>
              </w:rPr>
              <w:t>Critical — saturation</w:t>
            </w:r>
          </w:p>
        </w:tc>
      </w:tr>
      <w:tr w:rsidR="00524474" w14:paraId="4F1E00D7"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171FBEF2" w14:textId="77777777" w:rsidR="00524474" w:rsidRDefault="00000000">
            <w:r>
              <w:rPr>
                <w:rFonts w:ascii="Calibri" w:eastAsia="Calibri" w:hAnsi="Calibri" w:cs="Calibri"/>
              </w:rPr>
              <w:t>Memory Utilization</w:t>
            </w:r>
          </w:p>
        </w:tc>
        <w:tc>
          <w:tcPr>
            <w:tcW w:w="2400" w:type="dxa"/>
            <w:shd w:val="clear" w:color="auto" w:fill="FFFFFF"/>
            <w:tcMar>
              <w:top w:w="70" w:type="dxa"/>
              <w:left w:w="100" w:type="dxa"/>
              <w:bottom w:w="70" w:type="dxa"/>
              <w:right w:w="100" w:type="dxa"/>
            </w:tcMar>
          </w:tcPr>
          <w:p w14:paraId="37ED0FF9" w14:textId="77777777" w:rsidR="00524474" w:rsidRDefault="00000000">
            <w:r>
              <w:rPr>
                <w:rFonts w:ascii="Calibri" w:eastAsia="Calibri" w:hAnsi="Calibri" w:cs="Calibri"/>
              </w:rPr>
              <w:t>88%</w:t>
            </w:r>
          </w:p>
        </w:tc>
        <w:tc>
          <w:tcPr>
            <w:tcW w:w="3200" w:type="dxa"/>
            <w:shd w:val="clear" w:color="auto" w:fill="FFFFFF"/>
            <w:tcMar>
              <w:top w:w="70" w:type="dxa"/>
              <w:left w:w="100" w:type="dxa"/>
              <w:bottom w:w="70" w:type="dxa"/>
              <w:right w:w="100" w:type="dxa"/>
            </w:tcMar>
          </w:tcPr>
          <w:p w14:paraId="1C8A96EE" w14:textId="77777777" w:rsidR="00524474" w:rsidRDefault="00000000">
            <w:r>
              <w:rPr>
                <w:rFonts w:ascii="Calibri" w:eastAsia="Calibri" w:hAnsi="Calibri" w:cs="Calibri"/>
              </w:rPr>
              <w:t>&lt; 80–85%</w:t>
            </w:r>
          </w:p>
        </w:tc>
        <w:tc>
          <w:tcPr>
            <w:tcW w:w="2000" w:type="dxa"/>
            <w:shd w:val="clear" w:color="auto" w:fill="FFFFFF"/>
            <w:tcMar>
              <w:top w:w="70" w:type="dxa"/>
              <w:left w:w="100" w:type="dxa"/>
              <w:bottom w:w="70" w:type="dxa"/>
              <w:right w:w="100" w:type="dxa"/>
            </w:tcMar>
          </w:tcPr>
          <w:p w14:paraId="0BCCE947" w14:textId="77777777" w:rsidR="00524474" w:rsidRDefault="00000000">
            <w:r>
              <w:rPr>
                <w:rFonts w:ascii="Calibri" w:eastAsia="Calibri" w:hAnsi="Calibri" w:cs="Calibri"/>
              </w:rPr>
              <w:t>Warning/Critical</w:t>
            </w:r>
          </w:p>
        </w:tc>
      </w:tr>
      <w:tr w:rsidR="00524474" w14:paraId="5DA7FE0C" w14:textId="77777777">
        <w:tblPrEx>
          <w:tblCellMar>
            <w:top w:w="0" w:type="dxa"/>
            <w:bottom w:w="0" w:type="dxa"/>
          </w:tblCellMar>
        </w:tblPrEx>
        <w:tc>
          <w:tcPr>
            <w:tcW w:w="3000" w:type="dxa"/>
            <w:shd w:val="clear" w:color="auto" w:fill="F2F6FA"/>
            <w:tcMar>
              <w:top w:w="70" w:type="dxa"/>
              <w:left w:w="100" w:type="dxa"/>
              <w:bottom w:w="70" w:type="dxa"/>
              <w:right w:w="100" w:type="dxa"/>
            </w:tcMar>
          </w:tcPr>
          <w:p w14:paraId="4D130CD9" w14:textId="77777777" w:rsidR="00524474" w:rsidRDefault="00000000">
            <w:r>
              <w:rPr>
                <w:rFonts w:ascii="Calibri" w:eastAsia="Calibri" w:hAnsi="Calibri" w:cs="Calibri"/>
              </w:rPr>
              <w:t>Storage I/O Latency</w:t>
            </w:r>
          </w:p>
        </w:tc>
        <w:tc>
          <w:tcPr>
            <w:tcW w:w="2400" w:type="dxa"/>
            <w:shd w:val="clear" w:color="auto" w:fill="F2F6FA"/>
            <w:tcMar>
              <w:top w:w="70" w:type="dxa"/>
              <w:left w:w="100" w:type="dxa"/>
              <w:bottom w:w="70" w:type="dxa"/>
              <w:right w:w="100" w:type="dxa"/>
            </w:tcMar>
          </w:tcPr>
          <w:p w14:paraId="6EE0CB61" w14:textId="77777777" w:rsidR="00524474" w:rsidRDefault="00000000">
            <w:r>
              <w:rPr>
                <w:rFonts w:ascii="Calibri" w:eastAsia="Calibri" w:hAnsi="Calibri" w:cs="Calibri"/>
              </w:rPr>
              <w:t>35 ms</w:t>
            </w:r>
          </w:p>
        </w:tc>
        <w:tc>
          <w:tcPr>
            <w:tcW w:w="3200" w:type="dxa"/>
            <w:shd w:val="clear" w:color="auto" w:fill="F2F6FA"/>
            <w:tcMar>
              <w:top w:w="70" w:type="dxa"/>
              <w:left w:w="100" w:type="dxa"/>
              <w:bottom w:w="70" w:type="dxa"/>
              <w:right w:w="100" w:type="dxa"/>
            </w:tcMar>
          </w:tcPr>
          <w:p w14:paraId="40E72D51" w14:textId="77777777" w:rsidR="00524474" w:rsidRDefault="00000000">
            <w:r>
              <w:rPr>
                <w:rFonts w:ascii="Calibri" w:eastAsia="Calibri" w:hAnsi="Calibri" w:cs="Calibri"/>
              </w:rPr>
              <w:t>&lt; 10–15 ms (SSD/SAN)</w:t>
            </w:r>
          </w:p>
        </w:tc>
        <w:tc>
          <w:tcPr>
            <w:tcW w:w="2000" w:type="dxa"/>
            <w:shd w:val="clear" w:color="auto" w:fill="F2F6FA"/>
            <w:tcMar>
              <w:top w:w="70" w:type="dxa"/>
              <w:left w:w="100" w:type="dxa"/>
              <w:bottom w:w="70" w:type="dxa"/>
              <w:right w:w="100" w:type="dxa"/>
            </w:tcMar>
          </w:tcPr>
          <w:p w14:paraId="7FC2579C" w14:textId="77777777" w:rsidR="00524474" w:rsidRDefault="00000000">
            <w:r>
              <w:rPr>
                <w:rFonts w:ascii="Calibri" w:eastAsia="Calibri" w:hAnsi="Calibri" w:cs="Calibri"/>
              </w:rPr>
              <w:t>Critical — high latency</w:t>
            </w:r>
          </w:p>
        </w:tc>
      </w:tr>
      <w:tr w:rsidR="00524474" w14:paraId="34AE37AB" w14:textId="77777777">
        <w:tblPrEx>
          <w:tblCellMar>
            <w:top w:w="0" w:type="dxa"/>
            <w:bottom w:w="0" w:type="dxa"/>
          </w:tblCellMar>
        </w:tblPrEx>
        <w:tc>
          <w:tcPr>
            <w:tcW w:w="3000" w:type="dxa"/>
            <w:shd w:val="clear" w:color="auto" w:fill="FFFFFF"/>
            <w:tcMar>
              <w:top w:w="70" w:type="dxa"/>
              <w:left w:w="100" w:type="dxa"/>
              <w:bottom w:w="70" w:type="dxa"/>
              <w:right w:w="100" w:type="dxa"/>
            </w:tcMar>
          </w:tcPr>
          <w:p w14:paraId="10C9EE4D" w14:textId="77777777" w:rsidR="00524474" w:rsidRDefault="00000000">
            <w:r>
              <w:rPr>
                <w:rFonts w:ascii="Calibri" w:eastAsia="Calibri" w:hAnsi="Calibri" w:cs="Calibri"/>
              </w:rPr>
              <w:t>Average VM Boot Time</w:t>
            </w:r>
          </w:p>
        </w:tc>
        <w:tc>
          <w:tcPr>
            <w:tcW w:w="2400" w:type="dxa"/>
            <w:shd w:val="clear" w:color="auto" w:fill="FFFFFF"/>
            <w:tcMar>
              <w:top w:w="70" w:type="dxa"/>
              <w:left w:w="100" w:type="dxa"/>
              <w:bottom w:w="70" w:type="dxa"/>
              <w:right w:w="100" w:type="dxa"/>
            </w:tcMar>
          </w:tcPr>
          <w:p w14:paraId="2DC7AE94" w14:textId="77777777" w:rsidR="00524474" w:rsidRDefault="00000000">
            <w:r>
              <w:rPr>
                <w:rFonts w:ascii="Calibri" w:eastAsia="Calibri" w:hAnsi="Calibri" w:cs="Calibri"/>
              </w:rPr>
              <w:t>170 s</w:t>
            </w:r>
          </w:p>
        </w:tc>
        <w:tc>
          <w:tcPr>
            <w:tcW w:w="3200" w:type="dxa"/>
            <w:shd w:val="clear" w:color="auto" w:fill="FFFFFF"/>
            <w:tcMar>
              <w:top w:w="70" w:type="dxa"/>
              <w:left w:w="100" w:type="dxa"/>
              <w:bottom w:w="70" w:type="dxa"/>
              <w:right w:w="100" w:type="dxa"/>
            </w:tcMar>
          </w:tcPr>
          <w:p w14:paraId="60813CDB" w14:textId="77777777" w:rsidR="00524474" w:rsidRDefault="00000000">
            <w:r>
              <w:rPr>
                <w:rFonts w:ascii="Calibri" w:eastAsia="Calibri" w:hAnsi="Calibri" w:cs="Calibri"/>
              </w:rPr>
              <w:t>20–40 s typical</w:t>
            </w:r>
          </w:p>
        </w:tc>
        <w:tc>
          <w:tcPr>
            <w:tcW w:w="2000" w:type="dxa"/>
            <w:shd w:val="clear" w:color="auto" w:fill="FFFFFF"/>
            <w:tcMar>
              <w:top w:w="70" w:type="dxa"/>
              <w:left w:w="100" w:type="dxa"/>
              <w:bottom w:w="70" w:type="dxa"/>
              <w:right w:w="100" w:type="dxa"/>
            </w:tcMar>
          </w:tcPr>
          <w:p w14:paraId="59087646" w14:textId="77777777" w:rsidR="00524474" w:rsidRDefault="00000000">
            <w:r>
              <w:rPr>
                <w:rFonts w:ascii="Calibri" w:eastAsia="Calibri" w:hAnsi="Calibri" w:cs="Calibri"/>
              </w:rPr>
              <w:t>Critical — severe delay</w:t>
            </w:r>
          </w:p>
        </w:tc>
      </w:tr>
    </w:tbl>
    <w:p w14:paraId="1A9A659A" w14:textId="77777777" w:rsidR="00524474" w:rsidRDefault="00000000">
      <w:pPr>
        <w:spacing w:after="120" w:line="300" w:lineRule="auto"/>
        <w:jc w:val="both"/>
      </w:pPr>
      <w:r>
        <w:rPr>
          <w:rFonts w:ascii="Calibri" w:eastAsia="Calibri" w:hAnsi="Calibri" w:cs="Calibri"/>
          <w:sz w:val="22"/>
          <w:szCs w:val="22"/>
        </w:rPr>
        <w:t>All four metrics are simultaneously outside healthy operating thresholds. This pattern is not coincidental — the metrics are causally linked, and diagnosing the correct root cause (rather than treating each symptom independently) is essential to prescribing effective corrective action.</w:t>
      </w:r>
    </w:p>
    <w:p w14:paraId="30388D8D"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2. Likely Bottleneck Analysis</w:t>
      </w:r>
    </w:p>
    <w:p w14:paraId="049B3471" w14:textId="77777777" w:rsidR="00524474" w:rsidRDefault="00000000">
      <w:pPr>
        <w:pStyle w:val="Heading2"/>
        <w:spacing w:before="220" w:after="100"/>
      </w:pPr>
      <w:r>
        <w:rPr>
          <w:rFonts w:ascii="Calibri" w:eastAsia="Calibri" w:hAnsi="Calibri" w:cs="Calibri"/>
          <w:b/>
          <w:bCs/>
          <w:color w:val="1F4E79"/>
          <w:sz w:val="24"/>
          <w:szCs w:val="24"/>
        </w:rPr>
        <w:t>2.1 CPU Saturation (92%)</w:t>
      </w:r>
    </w:p>
    <w:p w14:paraId="51377AD6" w14:textId="77777777" w:rsidR="00524474" w:rsidRDefault="00000000">
      <w:pPr>
        <w:spacing w:after="120" w:line="300" w:lineRule="auto"/>
        <w:jc w:val="both"/>
      </w:pPr>
      <w:r>
        <w:rPr>
          <w:rFonts w:ascii="Calibri" w:eastAsia="Calibri" w:hAnsi="Calibri" w:cs="Calibri"/>
          <w:sz w:val="22"/>
          <w:szCs w:val="22"/>
        </w:rPr>
        <w:t>Sustained CPU utilization above roughly 80–85% at the host level typically indicates CPU over-commitment — too many vCPUs allocated across VMs relative to the physical cores/threads available (a high vCPU-to-pCPU ratio), or a small number of VMs experiencing runaway processes. At 92%, the hypervisor's scheduler is under significant pressure, causing 'CPU ready time' to rise: VMs must queue and wait for a physical core to become available before their vCPU instructions can execute. This directly slows every operation on the host, including the many CPU-bound steps of an OS boot sequence (kernel decompression, driver initialization, service startup).</w:t>
      </w:r>
    </w:p>
    <w:p w14:paraId="58704EE3" w14:textId="77777777" w:rsidR="00524474" w:rsidRDefault="00000000">
      <w:pPr>
        <w:pStyle w:val="Heading2"/>
        <w:spacing w:before="220" w:after="100"/>
      </w:pPr>
      <w:r>
        <w:rPr>
          <w:rFonts w:ascii="Calibri" w:eastAsia="Calibri" w:hAnsi="Calibri" w:cs="Calibri"/>
          <w:b/>
          <w:bCs/>
          <w:color w:val="1F4E79"/>
          <w:sz w:val="24"/>
          <w:szCs w:val="24"/>
        </w:rPr>
        <w:t>2.2 Memory Pressure (88%)</w:t>
      </w:r>
    </w:p>
    <w:p w14:paraId="678F50ED" w14:textId="77777777" w:rsidR="00524474" w:rsidRDefault="00000000">
      <w:pPr>
        <w:spacing w:after="120" w:line="300" w:lineRule="auto"/>
        <w:jc w:val="both"/>
      </w:pPr>
      <w:r>
        <w:rPr>
          <w:rFonts w:ascii="Calibri" w:eastAsia="Calibri" w:hAnsi="Calibri" w:cs="Calibri"/>
          <w:sz w:val="22"/>
          <w:szCs w:val="22"/>
        </w:rPr>
        <w:t>High memory utilization close to the physical ceiling forces the hypervisor to invoke memory-reclamation techniques such as ballooning, transparent page sharing, compression, or — in the worst case — hypervisor-level swapping to disk. Swapping is especially damaging because it converts fast RAM access into slow disk I/O, compounding the storage latency problem below. Memory pressure during boot is particularly harmful because operating systems allocate large amounts of memory rapidly during startup (caching, buffers, service initialization); if that memory must be reclaimed from other VMs or swapped, boot time increases sharply.</w:t>
      </w:r>
    </w:p>
    <w:p w14:paraId="0020749C" w14:textId="77777777" w:rsidR="00524474" w:rsidRDefault="00000000">
      <w:pPr>
        <w:pStyle w:val="Heading2"/>
        <w:spacing w:before="220" w:after="100"/>
      </w:pPr>
      <w:r>
        <w:rPr>
          <w:rFonts w:ascii="Calibri" w:eastAsia="Calibri" w:hAnsi="Calibri" w:cs="Calibri"/>
          <w:b/>
          <w:bCs/>
          <w:color w:val="1F4E79"/>
          <w:sz w:val="24"/>
          <w:szCs w:val="24"/>
        </w:rPr>
        <w:t>2.3 Storage I/O Latency (35 ms)</w:t>
      </w:r>
    </w:p>
    <w:p w14:paraId="78263659" w14:textId="77777777" w:rsidR="00524474" w:rsidRDefault="00000000">
      <w:pPr>
        <w:spacing w:after="120" w:line="300" w:lineRule="auto"/>
        <w:jc w:val="both"/>
      </w:pPr>
      <w:r>
        <w:rPr>
          <w:rFonts w:ascii="Calibri" w:eastAsia="Calibri" w:hAnsi="Calibri" w:cs="Calibri"/>
          <w:sz w:val="22"/>
          <w:szCs w:val="22"/>
        </w:rPr>
        <w:t xml:space="preserve">A healthy enterprise SSD/SAN-backed datastore typically returns I/O latency in the low single digits to low teens of milliseconds; 35 ms indicates the storage subsystem is a significant bottleneck. Likely causes include: too many VMs sharing the same datastore/LUN (I/O contention or the 'noisy neighbor' effect), an underlying disk array that is itself under-provisioned (spinning disks or an over-subscribed SSD pool), a saturated storage network path (iSCSI/FC/NFS bandwidth), or memory swapping (from 2.2) adding extra unplanned I/O load. Because boot </w:t>
      </w:r>
      <w:r>
        <w:rPr>
          <w:rFonts w:ascii="Calibri" w:eastAsia="Calibri" w:hAnsi="Calibri" w:cs="Calibri"/>
          <w:sz w:val="22"/>
          <w:szCs w:val="22"/>
        </w:rPr>
        <w:lastRenderedPageBreak/>
        <w:t>involves heavy, latency-sensitive read activity (loading the OS image, libraries, and services), elevated storage latency has an outsized effect on boot time specifically.</w:t>
      </w:r>
    </w:p>
    <w:p w14:paraId="6CFFDE94" w14:textId="77777777" w:rsidR="00524474" w:rsidRDefault="00000000">
      <w:pPr>
        <w:pStyle w:val="Heading2"/>
        <w:spacing w:before="220" w:after="100"/>
      </w:pPr>
      <w:r>
        <w:rPr>
          <w:rFonts w:ascii="Calibri" w:eastAsia="Calibri" w:hAnsi="Calibri" w:cs="Calibri"/>
          <w:b/>
          <w:bCs/>
          <w:color w:val="1F4E79"/>
          <w:sz w:val="24"/>
          <w:szCs w:val="24"/>
        </w:rPr>
        <w:t>2.4 Excessive VM Boot Time (170 s)</w:t>
      </w:r>
    </w:p>
    <w:p w14:paraId="2F0AD1B9" w14:textId="77777777" w:rsidR="00524474" w:rsidRDefault="00000000">
      <w:pPr>
        <w:spacing w:after="120" w:line="300" w:lineRule="auto"/>
        <w:jc w:val="both"/>
      </w:pPr>
      <w:r>
        <w:rPr>
          <w:rFonts w:ascii="Calibri" w:eastAsia="Calibri" w:hAnsi="Calibri" w:cs="Calibri"/>
          <w:sz w:val="22"/>
          <w:szCs w:val="22"/>
        </w:rPr>
        <w:t>A boot time of 170 seconds — roughly 4–8 times a typical 20–40 second boot — is the composite symptom of the three resource bottlenecks above. Boot is one of the most resource-intensive phases in a VM's lifecycle (it needs CPU, memory, and disk I/O simultaneously and immediately), so it is the metric most sensitive to host-level contention. The boot-time figure is best understood as the visible consequence, not an independent root cause.</w:t>
      </w:r>
    </w:p>
    <w:p w14:paraId="4D1C66B8"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3. Root-Cause Determination</w:t>
      </w:r>
    </w:p>
    <w:p w14:paraId="559D89BE" w14:textId="77777777" w:rsidR="00524474" w:rsidRDefault="00000000">
      <w:pPr>
        <w:spacing w:after="120" w:line="300" w:lineRule="auto"/>
        <w:jc w:val="both"/>
      </w:pPr>
      <w:r>
        <w:rPr>
          <w:rFonts w:ascii="Calibri" w:eastAsia="Calibri" w:hAnsi="Calibri" w:cs="Calibri"/>
          <w:sz w:val="22"/>
          <w:szCs w:val="22"/>
        </w:rPr>
        <w:t>Correlating the four metrics points to host-level over-commitment and/or under-provisioned storage as the underlying root cause, rather than four unrelated problems: excessive vCPU/vRAM allocation across too many VMs on one host has pushed CPU and memory near saturation; memory pressure is likely triggering swap/balloon activity that adds artificial I/O load onto an already-strained storage layer; and the combined CPU-wait + memory-reclaim + storage-latency effect multiplies together during the I/O- and CPU-heavy boot sequence, producing the disproportionately high 170-second boot time.</w:t>
      </w:r>
    </w:p>
    <w:p w14:paraId="17BA2341"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4. Recommended Corrective Actions</w:t>
      </w:r>
    </w:p>
    <w:p w14:paraId="5AE7374C" w14:textId="77777777" w:rsidR="00524474" w:rsidRDefault="00000000">
      <w:pPr>
        <w:pStyle w:val="Heading2"/>
        <w:spacing w:before="220" w:after="100"/>
      </w:pPr>
      <w:r>
        <w:rPr>
          <w:rFonts w:ascii="Calibri" w:eastAsia="Calibri" w:hAnsi="Calibri" w:cs="Calibri"/>
          <w:b/>
          <w:bCs/>
          <w:color w:val="1F4E79"/>
          <w:sz w:val="24"/>
          <w:szCs w:val="24"/>
        </w:rPr>
        <w:t>4.1 Immediate (Short-Term) Actions</w:t>
      </w:r>
    </w:p>
    <w:p w14:paraId="734151C5"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Identify and isolate resource-hungry VMs:</w:t>
      </w:r>
      <w:r>
        <w:rPr>
          <w:rFonts w:ascii="Calibri" w:eastAsia="Calibri" w:hAnsi="Calibri" w:cs="Calibri"/>
          <w:sz w:val="22"/>
          <w:szCs w:val="22"/>
        </w:rPr>
        <w:t xml:space="preserve"> Use the hypervisor's monitoring tools (esxtop/vCenter Performance charts, Hyper-V Resource Monitor) to identify the specific VM(s) responsible for abnormal CPU or memory consumption and throttle or right-size them.</w:t>
      </w:r>
    </w:p>
    <w:p w14:paraId="2BEAF9BD"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Rebalance the cluster / migrate VMs:</w:t>
      </w:r>
      <w:r>
        <w:rPr>
          <w:rFonts w:ascii="Calibri" w:eastAsia="Calibri" w:hAnsi="Calibri" w:cs="Calibri"/>
          <w:sz w:val="22"/>
          <w:szCs w:val="22"/>
        </w:rPr>
        <w:t xml:space="preserve"> Move some VMs to other hosts in the cluster using live migration (vMotion/Live Migration) to immediately relieve CPU and memory pressure on the affected host.</w:t>
      </w:r>
    </w:p>
    <w:p w14:paraId="707B9535"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Adjust resource reservations and limits:</w:t>
      </w:r>
      <w:r>
        <w:rPr>
          <w:rFonts w:ascii="Calibri" w:eastAsia="Calibri" w:hAnsi="Calibri" w:cs="Calibri"/>
          <w:sz w:val="22"/>
          <w:szCs w:val="22"/>
        </w:rPr>
        <w:t xml:space="preserve"> Set memory and CPU reservations/limits appropriately, and disable unnecessary memory ballooning/swapping for critical VMs by ensuring adequate physical memory headroom.</w:t>
      </w:r>
    </w:p>
    <w:p w14:paraId="50181261"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Check for hypervisor swapping:</w:t>
      </w:r>
      <w:r>
        <w:rPr>
          <w:rFonts w:ascii="Calibri" w:eastAsia="Calibri" w:hAnsi="Calibri" w:cs="Calibri"/>
          <w:sz w:val="22"/>
          <w:szCs w:val="22"/>
        </w:rPr>
        <w:t xml:space="preserve"> Confirm whether host-level swap-to-disk is active; if so, this alone can explain much of the added storage latency and should be eliminated first by freeing memory.</w:t>
      </w:r>
    </w:p>
    <w:p w14:paraId="46860474" w14:textId="77777777" w:rsidR="00524474" w:rsidRDefault="00000000">
      <w:pPr>
        <w:pStyle w:val="Heading2"/>
        <w:spacing w:before="220" w:after="100"/>
      </w:pPr>
      <w:r>
        <w:rPr>
          <w:rFonts w:ascii="Calibri" w:eastAsia="Calibri" w:hAnsi="Calibri" w:cs="Calibri"/>
          <w:b/>
          <w:bCs/>
          <w:color w:val="1F4E79"/>
          <w:sz w:val="24"/>
          <w:szCs w:val="24"/>
        </w:rPr>
        <w:t>4.2 Medium-Term Actions</w:t>
      </w:r>
    </w:p>
    <w:p w14:paraId="1E65C197"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Reduce over-commitment ratios:</w:t>
      </w:r>
      <w:r>
        <w:rPr>
          <w:rFonts w:ascii="Calibri" w:eastAsia="Calibri" w:hAnsi="Calibri" w:cs="Calibri"/>
          <w:sz w:val="22"/>
          <w:szCs w:val="22"/>
        </w:rPr>
        <w:t xml:space="preserve"> Reduce the vCPU-to-physical-core ratio and the vRAM-to-physical-RAM ratio to recommended levels (commonly no more than 4:1–6:1 vCPU:pCPU for general workloads, tighter for latency-sensitive ones).</w:t>
      </w:r>
    </w:p>
    <w:p w14:paraId="40C08377"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Upgrade or redistribute storage:</w:t>
      </w:r>
      <w:r>
        <w:rPr>
          <w:rFonts w:ascii="Calibri" w:eastAsia="Calibri" w:hAnsi="Calibri" w:cs="Calibri"/>
          <w:sz w:val="22"/>
          <w:szCs w:val="22"/>
        </w:rPr>
        <w:t xml:space="preserve"> Move the affected datastore to faster media (NVMe/SSD tiering), spread VMs across additional LUNs/datastores, and verify the storage network (HBA/NIC bandwidth, multipathing) is not saturated.</w:t>
      </w:r>
    </w:p>
    <w:p w14:paraId="34803C41"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lastRenderedPageBreak/>
        <w:t>Implement resource QoS controls:</w:t>
      </w:r>
      <w:r>
        <w:rPr>
          <w:rFonts w:ascii="Calibri" w:eastAsia="Calibri" w:hAnsi="Calibri" w:cs="Calibri"/>
          <w:sz w:val="22"/>
          <w:szCs w:val="22"/>
        </w:rPr>
        <w:t xml:space="preserve"> Apply CPU/memory/storage QoS policies (e.g., Storage I/O Control, Network I/O Control) so no single VM or tenant can monopolize shared resources — directly addressing noisy-neighbor effects.</w:t>
      </w:r>
    </w:p>
    <w:p w14:paraId="36946327"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Enable performance alerting:</w:t>
      </w:r>
      <w:r>
        <w:rPr>
          <w:rFonts w:ascii="Calibri" w:eastAsia="Calibri" w:hAnsi="Calibri" w:cs="Calibri"/>
          <w:sz w:val="22"/>
          <w:szCs w:val="22"/>
        </w:rPr>
        <w:t xml:space="preserve"> Set proactive alert thresholds (e.g., CPU &gt; 75%, memory &gt; 80%, latency &gt; 15 ms) so the team is warned before saturation occurs again.</w:t>
      </w:r>
    </w:p>
    <w:p w14:paraId="75ACAB54" w14:textId="77777777" w:rsidR="00524474" w:rsidRDefault="00000000">
      <w:pPr>
        <w:pStyle w:val="Heading2"/>
        <w:spacing w:before="220" w:after="100"/>
      </w:pPr>
      <w:r>
        <w:rPr>
          <w:rFonts w:ascii="Calibri" w:eastAsia="Calibri" w:hAnsi="Calibri" w:cs="Calibri"/>
          <w:b/>
          <w:bCs/>
          <w:color w:val="1F4E79"/>
          <w:sz w:val="24"/>
          <w:szCs w:val="24"/>
        </w:rPr>
        <w:t>4.3 Long-Term (Strategic) Actions</w:t>
      </w:r>
    </w:p>
    <w:p w14:paraId="7C359F63"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Capacity planning and horizontal scaling:</w:t>
      </w:r>
      <w:r>
        <w:rPr>
          <w:rFonts w:ascii="Calibri" w:eastAsia="Calibri" w:hAnsi="Calibri" w:cs="Calibri"/>
          <w:sz w:val="22"/>
          <w:szCs w:val="22"/>
        </w:rPr>
        <w:t xml:space="preserve"> Add physical hosts to the cluster, or scale up existing host CPU/RAM/storage capacity, based on trend analysis of workload growth.</w:t>
      </w:r>
    </w:p>
    <w:p w14:paraId="30308C22"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Adopt dynamic resource scheduling:</w:t>
      </w:r>
      <w:r>
        <w:rPr>
          <w:rFonts w:ascii="Calibri" w:eastAsia="Calibri" w:hAnsi="Calibri" w:cs="Calibri"/>
          <w:sz w:val="22"/>
          <w:szCs w:val="22"/>
        </w:rPr>
        <w:t xml:space="preserve"> Deploy DRS (Distributed Resource Scheduler) or equivalent to automatically and continuously rebalance VM placement across the cluster based on real-time load.</w:t>
      </w:r>
    </w:p>
    <w:p w14:paraId="517CAEDF"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Consider workload-appropriate placement:</w:t>
      </w:r>
      <w:r>
        <w:rPr>
          <w:rFonts w:ascii="Calibri" w:eastAsia="Calibri" w:hAnsi="Calibri" w:cs="Calibri"/>
          <w:sz w:val="22"/>
          <w:szCs w:val="22"/>
        </w:rPr>
        <w:t xml:space="preserve"> For workloads with genuinely high, unpredictable resource needs, consider dedicated hosts or hyper-converged infrastructure (HCI) with guaranteed IOPS.</w:t>
      </w:r>
    </w:p>
    <w:p w14:paraId="374D7588"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5. Conclusion</w:t>
      </w:r>
    </w:p>
    <w:p w14:paraId="31A2B80D" w14:textId="77777777" w:rsidR="00524474" w:rsidRDefault="00000000">
      <w:pPr>
        <w:spacing w:after="120" w:line="300" w:lineRule="auto"/>
        <w:jc w:val="both"/>
      </w:pPr>
      <w:r>
        <w:rPr>
          <w:rFonts w:ascii="Calibri" w:eastAsia="Calibri" w:hAnsi="Calibri" w:cs="Calibri"/>
          <w:sz w:val="22"/>
          <w:szCs w:val="22"/>
        </w:rPr>
        <w:t>The snapshot reflects a single systemic bottleneck — host-level CPU and memory over-commitment interacting with an under-provisioned or contended storage layer — rather than four isolated issues. Corrective action should therefore begin with rebalancing/migrating VMs and eliminating memory swapping (fast relief), followed by structural fixes to over-commitment ratios and storage capacity (sustainable relief), supported by ongoing monitoring and dynamic scheduling to prevent recurrence.</w:t>
      </w:r>
    </w:p>
    <w:p w14:paraId="4A7B95CD" w14:textId="77777777" w:rsidR="00524474" w:rsidRDefault="00000000">
      <w:r>
        <w:br w:type="page"/>
      </w:r>
    </w:p>
    <w:p w14:paraId="022EB377" w14:textId="77777777" w:rsidR="00524474" w:rsidRDefault="00000000">
      <w:pPr>
        <w:shd w:val="clear" w:color="auto" w:fill="DCE6F1"/>
        <w:spacing w:before="100" w:after="200"/>
      </w:pPr>
      <w:r>
        <w:rPr>
          <w:rFonts w:ascii="Calibri" w:eastAsia="Calibri" w:hAnsi="Calibri" w:cs="Calibri"/>
          <w:b/>
          <w:bCs/>
          <w:color w:val="1F4E79"/>
          <w:sz w:val="26"/>
          <w:szCs w:val="26"/>
        </w:rPr>
        <w:lastRenderedPageBreak/>
        <w:t xml:space="preserve">Question 4: </w:t>
      </w:r>
      <w:r>
        <w:rPr>
          <w:rFonts w:ascii="Calibri" w:eastAsia="Calibri" w:hAnsi="Calibri" w:cs="Calibri"/>
          <w:b/>
          <w:bCs/>
          <w:sz w:val="26"/>
          <w:szCs w:val="26"/>
        </w:rPr>
        <w:t>Analyze how Software Defined Datacenter architecture improves agility compared with a traditional datacenter. Support your answer with compute, storage, and network virtualization considerations.</w:t>
      </w:r>
    </w:p>
    <w:p w14:paraId="54A7957A"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1. Introduction</w:t>
      </w:r>
    </w:p>
    <w:p w14:paraId="3C1E3A78" w14:textId="77777777" w:rsidR="00524474" w:rsidRDefault="00000000">
      <w:pPr>
        <w:spacing w:after="120" w:line="300" w:lineRule="auto"/>
        <w:jc w:val="both"/>
      </w:pPr>
      <w:r>
        <w:rPr>
          <w:rFonts w:ascii="Calibri" w:eastAsia="Calibri" w:hAnsi="Calibri" w:cs="Calibri"/>
          <w:sz w:val="22"/>
          <w:szCs w:val="22"/>
        </w:rPr>
        <w:t>A Software Defined Datacenter (SDDC) is an architectural model in which all infrastructure — compute, storage, and networking — is virtualized, pooled, and delivered as a service, with provisioning, configuration, and operation controlled entirely through software (typically via APIs, policy engines, and orchestration/automation platforms) rather than manual, hardware-specific administration. This stands in contrast to a traditional datacenter, where compute, storage, and network resources are physically siloed, manually configured, and tightly coupled to specific hardware appliances. Agility — the speed and ease with which infrastructure can be provisioned, changed, and scaled to meet business needs — is the primary advantage SDDC delivers.</w:t>
      </w:r>
    </w:p>
    <w:p w14:paraId="6EB5F392"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2. Traditional Datacenter Limitations</w:t>
      </w:r>
    </w:p>
    <w:p w14:paraId="554E0A0B"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Manual, hardware-bound provisioning:</w:t>
      </w:r>
      <w:r>
        <w:rPr>
          <w:rFonts w:ascii="Calibri" w:eastAsia="Calibri" w:hAnsi="Calibri" w:cs="Calibri"/>
          <w:sz w:val="22"/>
          <w:szCs w:val="22"/>
        </w:rPr>
        <w:t xml:space="preserve"> Provisioning a new server, storage volume, or network segment often requires manual hardware installation, cabling, and vendor-specific configuration, taking days to weeks.</w:t>
      </w:r>
    </w:p>
    <w:p w14:paraId="2DE43851"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Siloed management:</w:t>
      </w:r>
      <w:r>
        <w:rPr>
          <w:rFonts w:ascii="Calibri" w:eastAsia="Calibri" w:hAnsi="Calibri" w:cs="Calibri"/>
          <w:sz w:val="22"/>
          <w:szCs w:val="22"/>
        </w:rPr>
        <w:t xml:space="preserve"> Compute, storage, and network are managed by separate teams using separate tools, creating coordination delays and inconsistent policies.</w:t>
      </w:r>
    </w:p>
    <w:p w14:paraId="2751399E"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Poor resource utilization:</w:t>
      </w:r>
      <w:r>
        <w:rPr>
          <w:rFonts w:ascii="Calibri" w:eastAsia="Calibri" w:hAnsi="Calibri" w:cs="Calibri"/>
          <w:sz w:val="22"/>
          <w:szCs w:val="22"/>
        </w:rPr>
        <w:t xml:space="preserve"> Physical servers and storage arrays are provisioned for peak capacity, leading to chronic under-utilization and high capital expenditure.</w:t>
      </w:r>
    </w:p>
    <w:p w14:paraId="721C3318"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Rigid networking:</w:t>
      </w:r>
      <w:r>
        <w:rPr>
          <w:rFonts w:ascii="Calibri" w:eastAsia="Calibri" w:hAnsi="Calibri" w:cs="Calibri"/>
          <w:sz w:val="22"/>
          <w:szCs w:val="22"/>
        </w:rPr>
        <w:t xml:space="preserve"> Network changes (VLANs, firewall rules, routing) require manual configuration of individual physical switches/routers, which is slow and error-prone.</w:t>
      </w:r>
    </w:p>
    <w:p w14:paraId="3EE1119C"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Slow disaster recovery:</w:t>
      </w:r>
      <w:r>
        <w:rPr>
          <w:rFonts w:ascii="Calibri" w:eastAsia="Calibri" w:hAnsi="Calibri" w:cs="Calibri"/>
          <w:sz w:val="22"/>
          <w:szCs w:val="22"/>
        </w:rPr>
        <w:t xml:space="preserve"> Recovering from hardware failure or disaster typically involves lengthy manual rebuild processes.</w:t>
      </w:r>
    </w:p>
    <w:p w14:paraId="5B6D6B1B"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3. SDDC Architecture and Agility Gains</w:t>
      </w:r>
    </w:p>
    <w:p w14:paraId="0FB2D80F" w14:textId="77777777" w:rsidR="00524474" w:rsidRDefault="00000000">
      <w:pPr>
        <w:pStyle w:val="Heading2"/>
        <w:spacing w:before="220" w:after="100"/>
      </w:pPr>
      <w:r>
        <w:rPr>
          <w:rFonts w:ascii="Calibri" w:eastAsia="Calibri" w:hAnsi="Calibri" w:cs="Calibri"/>
          <w:b/>
          <w:bCs/>
          <w:color w:val="1F4E79"/>
          <w:sz w:val="24"/>
          <w:szCs w:val="24"/>
        </w:rPr>
        <w:t>3.1 Compute Virtualization</w:t>
      </w:r>
    </w:p>
    <w:p w14:paraId="5B17647B" w14:textId="77777777" w:rsidR="00524474" w:rsidRDefault="00000000">
      <w:pPr>
        <w:spacing w:after="120" w:line="300" w:lineRule="auto"/>
        <w:jc w:val="both"/>
      </w:pPr>
      <w:r>
        <w:rPr>
          <w:rFonts w:ascii="Calibri" w:eastAsia="Calibri" w:hAnsi="Calibri" w:cs="Calibri"/>
          <w:sz w:val="22"/>
          <w:szCs w:val="22"/>
        </w:rPr>
        <w:t>In an SDDC, physical servers are abstracted by hypervisors into pools of virtualized compute capacity. Virtual machines (or containers) can be provisioned in minutes via self-service portals or APIs, rather than through manual hardware procurement and setup. Templates, cloning, and automated orchestration (e.g., vSphere, OpenStack Nova, Kubernetes) allow hundreds of workloads to be deployed, resized, or decommissioned on demand. Dynamic resource scheduling (e.g., DRS) automatically balances load across the compute pool, and elastic auto-scaling adjusts capacity to real-time demand — something essentially impossible with fixed physical servers. This transforms compute provisioning from a days/weeks process into a minutes process, directly improving agility.</w:t>
      </w:r>
    </w:p>
    <w:p w14:paraId="2B76A2E5" w14:textId="77777777" w:rsidR="00524474" w:rsidRDefault="00000000">
      <w:pPr>
        <w:pStyle w:val="Heading2"/>
        <w:spacing w:before="220" w:after="100"/>
      </w:pPr>
      <w:r>
        <w:rPr>
          <w:rFonts w:ascii="Calibri" w:eastAsia="Calibri" w:hAnsi="Calibri" w:cs="Calibri"/>
          <w:b/>
          <w:bCs/>
          <w:color w:val="1F4E79"/>
          <w:sz w:val="24"/>
          <w:szCs w:val="24"/>
        </w:rPr>
        <w:t>3.2 Storage Virtualization</w:t>
      </w:r>
    </w:p>
    <w:p w14:paraId="0153E75D" w14:textId="77777777" w:rsidR="00524474" w:rsidRDefault="00000000">
      <w:pPr>
        <w:spacing w:after="120" w:line="300" w:lineRule="auto"/>
        <w:jc w:val="both"/>
      </w:pPr>
      <w:r>
        <w:rPr>
          <w:rFonts w:ascii="Calibri" w:eastAsia="Calibri" w:hAnsi="Calibri" w:cs="Calibri"/>
          <w:sz w:val="22"/>
          <w:szCs w:val="22"/>
        </w:rPr>
        <w:lastRenderedPageBreak/>
        <w:t>Software-Defined Storage (SDS) abstracts physical disks, SANs, and NAS devices into a single logical storage pool that can be sliced into virtual volumes on demand, with policies (replication level, tiering, encryption, snapshotting) attached in software rather than configured per physical array. Technologies such as VMware vSAN, Ceph, or ScaleIO let administrators provision, expand, or migrate storage capacity without physically re-cabling or replacing hardware. Storage policies can be defined per-VM (e.g., 'gold tier, triple-replicated, encrypted') and applied instantly and consistently, whereas a traditional datacenter would require manual LUN carving and zoning on physical storage arrays. This enables just-in-time capacity growth and rapid reconfiguration to match application needs.</w:t>
      </w:r>
    </w:p>
    <w:p w14:paraId="0ADF88CB" w14:textId="77777777" w:rsidR="00524474" w:rsidRDefault="00000000">
      <w:pPr>
        <w:pStyle w:val="Heading2"/>
        <w:spacing w:before="220" w:after="100"/>
      </w:pPr>
      <w:r>
        <w:rPr>
          <w:rFonts w:ascii="Calibri" w:eastAsia="Calibri" w:hAnsi="Calibri" w:cs="Calibri"/>
          <w:b/>
          <w:bCs/>
          <w:color w:val="1F4E79"/>
          <w:sz w:val="24"/>
          <w:szCs w:val="24"/>
        </w:rPr>
        <w:t>3.3 Network Virtualization</w:t>
      </w:r>
    </w:p>
    <w:p w14:paraId="3C8F9B74" w14:textId="77777777" w:rsidR="00524474" w:rsidRDefault="00000000">
      <w:pPr>
        <w:spacing w:after="120" w:line="300" w:lineRule="auto"/>
        <w:jc w:val="both"/>
      </w:pPr>
      <w:r>
        <w:rPr>
          <w:rFonts w:ascii="Calibri" w:eastAsia="Calibri" w:hAnsi="Calibri" w:cs="Calibri"/>
          <w:sz w:val="22"/>
          <w:szCs w:val="22"/>
        </w:rPr>
        <w:t>Network Functions Virtualization (NFV) and Software-Defined Networking (SDN) decouple network services — switching, routing, firewalling, load balancing — from physical network appliances, implementing them instead as software constructs (e.g., VMware NSX, OpenStack Neutron, Cisco ACI). Entire virtual networks, including micro-segmented security zones, can be created, cloned, or torn down programmatically in minutes, independent of the physical network topology beneath them. This allows a new application's full network environment (subnets, firewall rules, load balancers) to be provisioned alongside its compute and storage in a single automated workflow, rather than waiting for a network team to manually reconfigure physical switches.</w:t>
      </w:r>
    </w:p>
    <w:p w14:paraId="6C4B8FF6"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4. Comparative View: Traditional vs. SDDC</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300"/>
        <w:gridCol w:w="3300"/>
      </w:tblGrid>
      <w:tr w:rsidR="00524474" w14:paraId="277A6056" w14:textId="77777777">
        <w:tblPrEx>
          <w:tblCellMar>
            <w:top w:w="0" w:type="dxa"/>
            <w:bottom w:w="0" w:type="dxa"/>
          </w:tblCellMar>
        </w:tblPrEx>
        <w:trPr>
          <w:tblHeader/>
        </w:trPr>
        <w:tc>
          <w:tcPr>
            <w:tcW w:w="2600" w:type="dxa"/>
            <w:shd w:val="clear" w:color="auto" w:fill="1F4E79"/>
            <w:tcMar>
              <w:top w:w="80" w:type="dxa"/>
              <w:left w:w="100" w:type="dxa"/>
              <w:bottom w:w="80" w:type="dxa"/>
              <w:right w:w="100" w:type="dxa"/>
            </w:tcMar>
          </w:tcPr>
          <w:p w14:paraId="29DEB838" w14:textId="77777777" w:rsidR="00524474" w:rsidRDefault="00000000">
            <w:r>
              <w:rPr>
                <w:rFonts w:ascii="Calibri" w:eastAsia="Calibri" w:hAnsi="Calibri" w:cs="Calibri"/>
                <w:b/>
                <w:bCs/>
                <w:color w:val="FFFFFF"/>
              </w:rPr>
              <w:t>Dimension</w:t>
            </w:r>
          </w:p>
        </w:tc>
        <w:tc>
          <w:tcPr>
            <w:tcW w:w="3300" w:type="dxa"/>
            <w:shd w:val="clear" w:color="auto" w:fill="1F4E79"/>
            <w:tcMar>
              <w:top w:w="80" w:type="dxa"/>
              <w:left w:w="100" w:type="dxa"/>
              <w:bottom w:w="80" w:type="dxa"/>
              <w:right w:w="100" w:type="dxa"/>
            </w:tcMar>
          </w:tcPr>
          <w:p w14:paraId="604E0CE4" w14:textId="77777777" w:rsidR="00524474" w:rsidRDefault="00000000">
            <w:r>
              <w:rPr>
                <w:rFonts w:ascii="Calibri" w:eastAsia="Calibri" w:hAnsi="Calibri" w:cs="Calibri"/>
                <w:b/>
                <w:bCs/>
                <w:color w:val="FFFFFF"/>
              </w:rPr>
              <w:t>Traditional Datacenter</w:t>
            </w:r>
          </w:p>
        </w:tc>
        <w:tc>
          <w:tcPr>
            <w:tcW w:w="3300" w:type="dxa"/>
            <w:shd w:val="clear" w:color="auto" w:fill="1F4E79"/>
            <w:tcMar>
              <w:top w:w="80" w:type="dxa"/>
              <w:left w:w="100" w:type="dxa"/>
              <w:bottom w:w="80" w:type="dxa"/>
              <w:right w:w="100" w:type="dxa"/>
            </w:tcMar>
          </w:tcPr>
          <w:p w14:paraId="2D516AC9" w14:textId="77777777" w:rsidR="00524474" w:rsidRDefault="00000000">
            <w:r>
              <w:rPr>
                <w:rFonts w:ascii="Calibri" w:eastAsia="Calibri" w:hAnsi="Calibri" w:cs="Calibri"/>
                <w:b/>
                <w:bCs/>
                <w:color w:val="FFFFFF"/>
              </w:rPr>
              <w:t>Software Defined Datacenter</w:t>
            </w:r>
          </w:p>
        </w:tc>
      </w:tr>
      <w:tr w:rsidR="00524474" w14:paraId="61D74FAE"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1CCE8961" w14:textId="77777777" w:rsidR="00524474" w:rsidRDefault="00000000">
            <w:r>
              <w:rPr>
                <w:rFonts w:ascii="Calibri" w:eastAsia="Calibri" w:hAnsi="Calibri" w:cs="Calibri"/>
              </w:rPr>
              <w:t>Provisioning time</w:t>
            </w:r>
          </w:p>
        </w:tc>
        <w:tc>
          <w:tcPr>
            <w:tcW w:w="3300" w:type="dxa"/>
            <w:shd w:val="clear" w:color="auto" w:fill="F2F6FA"/>
            <w:tcMar>
              <w:top w:w="70" w:type="dxa"/>
              <w:left w:w="100" w:type="dxa"/>
              <w:bottom w:w="70" w:type="dxa"/>
              <w:right w:w="100" w:type="dxa"/>
            </w:tcMar>
          </w:tcPr>
          <w:p w14:paraId="3A790250" w14:textId="77777777" w:rsidR="00524474" w:rsidRDefault="00000000">
            <w:r>
              <w:rPr>
                <w:rFonts w:ascii="Calibri" w:eastAsia="Calibri" w:hAnsi="Calibri" w:cs="Calibri"/>
              </w:rPr>
              <w:t>Days to weeks (manual, hardware-bound)</w:t>
            </w:r>
          </w:p>
        </w:tc>
        <w:tc>
          <w:tcPr>
            <w:tcW w:w="3300" w:type="dxa"/>
            <w:shd w:val="clear" w:color="auto" w:fill="F2F6FA"/>
            <w:tcMar>
              <w:top w:w="70" w:type="dxa"/>
              <w:left w:w="100" w:type="dxa"/>
              <w:bottom w:w="70" w:type="dxa"/>
              <w:right w:w="100" w:type="dxa"/>
            </w:tcMar>
          </w:tcPr>
          <w:p w14:paraId="4F5A9A1E" w14:textId="77777777" w:rsidR="00524474" w:rsidRDefault="00000000">
            <w:r>
              <w:rPr>
                <w:rFonts w:ascii="Calibri" w:eastAsia="Calibri" w:hAnsi="Calibri" w:cs="Calibri"/>
              </w:rPr>
              <w:t>Minutes (automated, template/API-driven)</w:t>
            </w:r>
          </w:p>
        </w:tc>
      </w:tr>
      <w:tr w:rsidR="00524474" w14:paraId="43C1E481"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1C18BDCD" w14:textId="77777777" w:rsidR="00524474" w:rsidRDefault="00000000">
            <w:r>
              <w:rPr>
                <w:rFonts w:ascii="Calibri" w:eastAsia="Calibri" w:hAnsi="Calibri" w:cs="Calibri"/>
              </w:rPr>
              <w:t>Resource utilization</w:t>
            </w:r>
          </w:p>
        </w:tc>
        <w:tc>
          <w:tcPr>
            <w:tcW w:w="3300" w:type="dxa"/>
            <w:shd w:val="clear" w:color="auto" w:fill="FFFFFF"/>
            <w:tcMar>
              <w:top w:w="70" w:type="dxa"/>
              <w:left w:w="100" w:type="dxa"/>
              <w:bottom w:w="70" w:type="dxa"/>
              <w:right w:w="100" w:type="dxa"/>
            </w:tcMar>
          </w:tcPr>
          <w:p w14:paraId="7C36110C" w14:textId="77777777" w:rsidR="00524474" w:rsidRDefault="00000000">
            <w:r>
              <w:rPr>
                <w:rFonts w:ascii="Calibri" w:eastAsia="Calibri" w:hAnsi="Calibri" w:cs="Calibri"/>
              </w:rPr>
              <w:t>Low; siloed, peak-provisioned hardware</w:t>
            </w:r>
          </w:p>
        </w:tc>
        <w:tc>
          <w:tcPr>
            <w:tcW w:w="3300" w:type="dxa"/>
            <w:shd w:val="clear" w:color="auto" w:fill="FFFFFF"/>
            <w:tcMar>
              <w:top w:w="70" w:type="dxa"/>
              <w:left w:w="100" w:type="dxa"/>
              <w:bottom w:w="70" w:type="dxa"/>
              <w:right w:w="100" w:type="dxa"/>
            </w:tcMar>
          </w:tcPr>
          <w:p w14:paraId="413906AD" w14:textId="77777777" w:rsidR="00524474" w:rsidRDefault="00000000">
            <w:r>
              <w:rPr>
                <w:rFonts w:ascii="Calibri" w:eastAsia="Calibri" w:hAnsi="Calibri" w:cs="Calibri"/>
              </w:rPr>
              <w:t>High; pooled, elastically shared resources</w:t>
            </w:r>
          </w:p>
        </w:tc>
      </w:tr>
      <w:tr w:rsidR="00524474" w14:paraId="516A3911"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0067F18C" w14:textId="77777777" w:rsidR="00524474" w:rsidRDefault="00000000">
            <w:r>
              <w:rPr>
                <w:rFonts w:ascii="Calibri" w:eastAsia="Calibri" w:hAnsi="Calibri" w:cs="Calibri"/>
              </w:rPr>
              <w:t>Network changes</w:t>
            </w:r>
          </w:p>
        </w:tc>
        <w:tc>
          <w:tcPr>
            <w:tcW w:w="3300" w:type="dxa"/>
            <w:shd w:val="clear" w:color="auto" w:fill="F2F6FA"/>
            <w:tcMar>
              <w:top w:w="70" w:type="dxa"/>
              <w:left w:w="100" w:type="dxa"/>
              <w:bottom w:w="70" w:type="dxa"/>
              <w:right w:w="100" w:type="dxa"/>
            </w:tcMar>
          </w:tcPr>
          <w:p w14:paraId="2EAA42AE" w14:textId="77777777" w:rsidR="00524474" w:rsidRDefault="00000000">
            <w:r>
              <w:rPr>
                <w:rFonts w:ascii="Calibri" w:eastAsia="Calibri" w:hAnsi="Calibri" w:cs="Calibri"/>
              </w:rPr>
              <w:t>Manual per-device configuration</w:t>
            </w:r>
          </w:p>
        </w:tc>
        <w:tc>
          <w:tcPr>
            <w:tcW w:w="3300" w:type="dxa"/>
            <w:shd w:val="clear" w:color="auto" w:fill="F2F6FA"/>
            <w:tcMar>
              <w:top w:w="70" w:type="dxa"/>
              <w:left w:w="100" w:type="dxa"/>
              <w:bottom w:w="70" w:type="dxa"/>
              <w:right w:w="100" w:type="dxa"/>
            </w:tcMar>
          </w:tcPr>
          <w:p w14:paraId="54CCD73E" w14:textId="77777777" w:rsidR="00524474" w:rsidRDefault="00000000">
            <w:r>
              <w:rPr>
                <w:rFonts w:ascii="Calibri" w:eastAsia="Calibri" w:hAnsi="Calibri" w:cs="Calibri"/>
              </w:rPr>
              <w:t>Programmable, policy-based, instant rollout</w:t>
            </w:r>
          </w:p>
        </w:tc>
      </w:tr>
      <w:tr w:rsidR="00524474" w14:paraId="7CECA97F"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731C2F51" w14:textId="77777777" w:rsidR="00524474" w:rsidRDefault="00000000">
            <w:r>
              <w:rPr>
                <w:rFonts w:ascii="Calibri" w:eastAsia="Calibri" w:hAnsi="Calibri" w:cs="Calibri"/>
              </w:rPr>
              <w:t>Scalability</w:t>
            </w:r>
          </w:p>
        </w:tc>
        <w:tc>
          <w:tcPr>
            <w:tcW w:w="3300" w:type="dxa"/>
            <w:shd w:val="clear" w:color="auto" w:fill="FFFFFF"/>
            <w:tcMar>
              <w:top w:w="70" w:type="dxa"/>
              <w:left w:w="100" w:type="dxa"/>
              <w:bottom w:w="70" w:type="dxa"/>
              <w:right w:w="100" w:type="dxa"/>
            </w:tcMar>
          </w:tcPr>
          <w:p w14:paraId="1B503715" w14:textId="77777777" w:rsidR="00524474" w:rsidRDefault="00000000">
            <w:r>
              <w:rPr>
                <w:rFonts w:ascii="Calibri" w:eastAsia="Calibri" w:hAnsi="Calibri" w:cs="Calibri"/>
              </w:rPr>
              <w:t>Limited by physical hardware procurement cycles</w:t>
            </w:r>
          </w:p>
        </w:tc>
        <w:tc>
          <w:tcPr>
            <w:tcW w:w="3300" w:type="dxa"/>
            <w:shd w:val="clear" w:color="auto" w:fill="FFFFFF"/>
            <w:tcMar>
              <w:top w:w="70" w:type="dxa"/>
              <w:left w:w="100" w:type="dxa"/>
              <w:bottom w:w="70" w:type="dxa"/>
              <w:right w:w="100" w:type="dxa"/>
            </w:tcMar>
          </w:tcPr>
          <w:p w14:paraId="6F5DCF75" w14:textId="77777777" w:rsidR="00524474" w:rsidRDefault="00000000">
            <w:r>
              <w:rPr>
                <w:rFonts w:ascii="Calibri" w:eastAsia="Calibri" w:hAnsi="Calibri" w:cs="Calibri"/>
              </w:rPr>
              <w:t>Elastic scale-up/down via software policy</w:t>
            </w:r>
          </w:p>
        </w:tc>
      </w:tr>
      <w:tr w:rsidR="00524474" w14:paraId="49D95BB1" w14:textId="77777777">
        <w:tblPrEx>
          <w:tblCellMar>
            <w:top w:w="0" w:type="dxa"/>
            <w:bottom w:w="0" w:type="dxa"/>
          </w:tblCellMar>
        </w:tblPrEx>
        <w:tc>
          <w:tcPr>
            <w:tcW w:w="2600" w:type="dxa"/>
            <w:shd w:val="clear" w:color="auto" w:fill="F2F6FA"/>
            <w:tcMar>
              <w:top w:w="70" w:type="dxa"/>
              <w:left w:w="100" w:type="dxa"/>
              <w:bottom w:w="70" w:type="dxa"/>
              <w:right w:w="100" w:type="dxa"/>
            </w:tcMar>
          </w:tcPr>
          <w:p w14:paraId="1E2F5FDB" w14:textId="77777777" w:rsidR="00524474" w:rsidRDefault="00000000">
            <w:r>
              <w:rPr>
                <w:rFonts w:ascii="Calibri" w:eastAsia="Calibri" w:hAnsi="Calibri" w:cs="Calibri"/>
              </w:rPr>
              <w:t>Disaster recovery</w:t>
            </w:r>
          </w:p>
        </w:tc>
        <w:tc>
          <w:tcPr>
            <w:tcW w:w="3300" w:type="dxa"/>
            <w:shd w:val="clear" w:color="auto" w:fill="F2F6FA"/>
            <w:tcMar>
              <w:top w:w="70" w:type="dxa"/>
              <w:left w:w="100" w:type="dxa"/>
              <w:bottom w:w="70" w:type="dxa"/>
              <w:right w:w="100" w:type="dxa"/>
            </w:tcMar>
          </w:tcPr>
          <w:p w14:paraId="1A7D0BA2" w14:textId="77777777" w:rsidR="00524474" w:rsidRDefault="00000000">
            <w:r>
              <w:rPr>
                <w:rFonts w:ascii="Calibri" w:eastAsia="Calibri" w:hAnsi="Calibri" w:cs="Calibri"/>
              </w:rPr>
              <w:t>Manual rebuild; long RTO</w:t>
            </w:r>
          </w:p>
        </w:tc>
        <w:tc>
          <w:tcPr>
            <w:tcW w:w="3300" w:type="dxa"/>
            <w:shd w:val="clear" w:color="auto" w:fill="F2F6FA"/>
            <w:tcMar>
              <w:top w:w="70" w:type="dxa"/>
              <w:left w:w="100" w:type="dxa"/>
              <w:bottom w:w="70" w:type="dxa"/>
              <w:right w:w="100" w:type="dxa"/>
            </w:tcMar>
          </w:tcPr>
          <w:p w14:paraId="4A340CBC" w14:textId="77777777" w:rsidR="00524474" w:rsidRDefault="00000000">
            <w:r>
              <w:rPr>
                <w:rFonts w:ascii="Calibri" w:eastAsia="Calibri" w:hAnsi="Calibri" w:cs="Calibri"/>
              </w:rPr>
              <w:t>Automated failover, replication, orchestration; short RTO</w:t>
            </w:r>
          </w:p>
        </w:tc>
      </w:tr>
      <w:tr w:rsidR="00524474" w14:paraId="4521288A" w14:textId="77777777">
        <w:tblPrEx>
          <w:tblCellMar>
            <w:top w:w="0" w:type="dxa"/>
            <w:bottom w:w="0" w:type="dxa"/>
          </w:tblCellMar>
        </w:tblPrEx>
        <w:tc>
          <w:tcPr>
            <w:tcW w:w="2600" w:type="dxa"/>
            <w:shd w:val="clear" w:color="auto" w:fill="FFFFFF"/>
            <w:tcMar>
              <w:top w:w="70" w:type="dxa"/>
              <w:left w:w="100" w:type="dxa"/>
              <w:bottom w:w="70" w:type="dxa"/>
              <w:right w:w="100" w:type="dxa"/>
            </w:tcMar>
          </w:tcPr>
          <w:p w14:paraId="329F7583" w14:textId="77777777" w:rsidR="00524474" w:rsidRDefault="00000000">
            <w:r>
              <w:rPr>
                <w:rFonts w:ascii="Calibri" w:eastAsia="Calibri" w:hAnsi="Calibri" w:cs="Calibri"/>
              </w:rPr>
              <w:t>Operational model</w:t>
            </w:r>
          </w:p>
        </w:tc>
        <w:tc>
          <w:tcPr>
            <w:tcW w:w="3300" w:type="dxa"/>
            <w:shd w:val="clear" w:color="auto" w:fill="FFFFFF"/>
            <w:tcMar>
              <w:top w:w="70" w:type="dxa"/>
              <w:left w:w="100" w:type="dxa"/>
              <w:bottom w:w="70" w:type="dxa"/>
              <w:right w:w="100" w:type="dxa"/>
            </w:tcMar>
          </w:tcPr>
          <w:p w14:paraId="2A6BDEC2" w14:textId="77777777" w:rsidR="00524474" w:rsidRDefault="00000000">
            <w:r>
              <w:rPr>
                <w:rFonts w:ascii="Calibri" w:eastAsia="Calibri" w:hAnsi="Calibri" w:cs="Calibri"/>
              </w:rPr>
              <w:t>Team silos; manual tickets/change control</w:t>
            </w:r>
          </w:p>
        </w:tc>
        <w:tc>
          <w:tcPr>
            <w:tcW w:w="3300" w:type="dxa"/>
            <w:shd w:val="clear" w:color="auto" w:fill="FFFFFF"/>
            <w:tcMar>
              <w:top w:w="70" w:type="dxa"/>
              <w:left w:w="100" w:type="dxa"/>
              <w:bottom w:w="70" w:type="dxa"/>
              <w:right w:w="100" w:type="dxa"/>
            </w:tcMar>
          </w:tcPr>
          <w:p w14:paraId="074D8CD9" w14:textId="77777777" w:rsidR="00524474" w:rsidRDefault="00000000">
            <w:r>
              <w:rPr>
                <w:rFonts w:ascii="Calibri" w:eastAsia="Calibri" w:hAnsi="Calibri" w:cs="Calibri"/>
              </w:rPr>
              <w:t>Unified automation and orchestration (IaC, APIs)</w:t>
            </w:r>
          </w:p>
        </w:tc>
      </w:tr>
    </w:tbl>
    <w:p w14:paraId="241D0975"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5. How These Considerations Combine to Deliver Agility</w:t>
      </w:r>
    </w:p>
    <w:p w14:paraId="09008062" w14:textId="77777777" w:rsidR="00524474" w:rsidRDefault="00000000">
      <w:pPr>
        <w:spacing w:after="120" w:line="300" w:lineRule="auto"/>
        <w:jc w:val="both"/>
      </w:pPr>
      <w:r>
        <w:rPr>
          <w:rFonts w:ascii="Calibri" w:eastAsia="Calibri" w:hAnsi="Calibri" w:cs="Calibri"/>
          <w:sz w:val="22"/>
          <w:szCs w:val="22"/>
        </w:rPr>
        <w:t xml:space="preserve">The agility improvement in an SDDC is not attributable to any single virtualization layer alone but to the combination of all three operating under a unified software control plane. When compute, storage, and network resources can each be provisioned and reconfigured programmatically, an entire application environment — servers, storage volumes, and network/security policy — can be deployed as a single automated workflow (often expressed as Infrastructure-as-Code) in minutes rather than the days or weeks a traditional siloed datacenter requires. This also enables self-service catalogs for developers, consistent policy enforcement across </w:t>
      </w:r>
      <w:r>
        <w:rPr>
          <w:rFonts w:ascii="Calibri" w:eastAsia="Calibri" w:hAnsi="Calibri" w:cs="Calibri"/>
          <w:sz w:val="22"/>
          <w:szCs w:val="22"/>
        </w:rPr>
        <w:lastRenderedPageBreak/>
        <w:t>environments, rapid scaling in response to demand spikes, and fast, automated disaster recovery — all of which are central to the operational agility that modern cloud-native and DevOps practices demand.</w:t>
      </w:r>
    </w:p>
    <w:p w14:paraId="7349EFE3"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6. Conclusion</w:t>
      </w:r>
    </w:p>
    <w:p w14:paraId="7684D1D2" w14:textId="77777777" w:rsidR="00524474" w:rsidRDefault="00000000">
      <w:pPr>
        <w:spacing w:after="120" w:line="300" w:lineRule="auto"/>
        <w:jc w:val="both"/>
      </w:pPr>
      <w:r>
        <w:rPr>
          <w:rFonts w:ascii="Calibri" w:eastAsia="Calibri" w:hAnsi="Calibri" w:cs="Calibri"/>
          <w:sz w:val="22"/>
          <w:szCs w:val="22"/>
        </w:rPr>
        <w:t>Software Defined Datacenter architecture improves agility by replacing manual, hardware-bound provisioning with software-driven abstraction, pooling, and automation across compute, storage, and network layers. Each virtualization layer independently contributes speed and flexibility, but it is their integration under a single orchestration and policy framework that allows a cloud provider to deploy, scale, and recover infrastructure at a pace that a traditional datacenter architecture cannot match.</w:t>
      </w:r>
    </w:p>
    <w:p w14:paraId="607256F4" w14:textId="77777777" w:rsidR="00524474" w:rsidRDefault="00000000">
      <w:r>
        <w:br w:type="page"/>
      </w:r>
    </w:p>
    <w:p w14:paraId="1D7EBD9D" w14:textId="77777777" w:rsidR="00524474" w:rsidRDefault="00000000">
      <w:pPr>
        <w:shd w:val="clear" w:color="auto" w:fill="DCE6F1"/>
        <w:spacing w:before="100" w:after="200"/>
      </w:pPr>
      <w:r>
        <w:rPr>
          <w:rFonts w:ascii="Calibri" w:eastAsia="Calibri" w:hAnsi="Calibri" w:cs="Calibri"/>
          <w:b/>
          <w:bCs/>
          <w:color w:val="1F4E79"/>
          <w:sz w:val="26"/>
          <w:szCs w:val="26"/>
        </w:rPr>
        <w:lastRenderedPageBreak/>
        <w:t xml:space="preserve">Question 5: </w:t>
      </w:r>
      <w:r>
        <w:rPr>
          <w:rFonts w:ascii="Calibri" w:eastAsia="Calibri" w:hAnsi="Calibri" w:cs="Calibri"/>
          <w:b/>
          <w:bCs/>
          <w:sz w:val="26"/>
          <w:szCs w:val="26"/>
        </w:rPr>
        <w:t>A multi-cloud federation project fails due to identity mismatches between providers. Analyze the issue and propose a secure identity and privacy design using federation concepts.</w:t>
      </w:r>
    </w:p>
    <w:p w14:paraId="223CE3E3"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1. Problem Context</w:t>
      </w:r>
    </w:p>
    <w:p w14:paraId="14FF499E" w14:textId="77777777" w:rsidR="00524474" w:rsidRDefault="00000000">
      <w:pPr>
        <w:spacing w:after="120" w:line="300" w:lineRule="auto"/>
        <w:jc w:val="both"/>
      </w:pPr>
      <w:r>
        <w:rPr>
          <w:rFonts w:ascii="Calibri" w:eastAsia="Calibri" w:hAnsi="Calibri" w:cs="Calibri"/>
          <w:sz w:val="22"/>
          <w:szCs w:val="22"/>
        </w:rPr>
        <w:t>In a multi-cloud federation, an organization consumes services across multiple independent cloud providers (e.g., AWS, Azure, GCP, or private clouds) as though they formed a single coherent environment. A recurring failure mode in such projects is identity mismatch: each provider maintains its own identity model — different user attribute schemas, different token formats, inconsistent role/permission naming, and separate trust roots — so a user or service authenticated in one cloud is not automatically, correctly, or safely recognized in another. This breaks single sign-on (SSO), causes authorization errors (a role that means 'read-only' in one provider might map to a broader permission in another), and can create serious security and compliance failures, including over-privileged access, orphaned accounts, and inconsistent audit trails across providers.</w:t>
      </w:r>
    </w:p>
    <w:p w14:paraId="20B7F72F"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2. Root Causes of Identity Mismatch</w:t>
      </w:r>
    </w:p>
    <w:p w14:paraId="4C92962C"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Heterogeneous identity protocols:</w:t>
      </w:r>
      <w:r>
        <w:rPr>
          <w:rFonts w:ascii="Calibri" w:eastAsia="Calibri" w:hAnsi="Calibri" w:cs="Calibri"/>
          <w:sz w:val="22"/>
          <w:szCs w:val="22"/>
        </w:rPr>
        <w:t xml:space="preserve"> Providers use different protocols/token formats (SAML assertions vs. OAuth2/OIDC JWTs vs. proprietary IAM tokens), and without a translation layer, tokens issued by one provider are meaningless to another.</w:t>
      </w:r>
    </w:p>
    <w:p w14:paraId="2E97F67E"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Inconsistent attribute schemas:</w:t>
      </w:r>
      <w:r>
        <w:rPr>
          <w:rFonts w:ascii="Calibri" w:eastAsia="Calibri" w:hAnsi="Calibri" w:cs="Calibri"/>
          <w:sz w:val="22"/>
          <w:szCs w:val="22"/>
        </w:rPr>
        <w:t xml:space="preserve"> User attributes (department, role, clearance level) are named and structured differently across providers, so attribute-based access control (ABAC) decisions can be misapplied.</w:t>
      </w:r>
    </w:p>
    <w:p w14:paraId="16D817D1"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No unified role mapping:</w:t>
      </w:r>
      <w:r>
        <w:rPr>
          <w:rFonts w:ascii="Calibri" w:eastAsia="Calibri" w:hAnsi="Calibri" w:cs="Calibri"/>
          <w:sz w:val="22"/>
          <w:szCs w:val="22"/>
        </w:rPr>
        <w:t xml:space="preserve"> Each provider has its own IAM role/policy model (AWS IAM roles vs. Azure RBAC vs. GCP IAM), so a single logical role does not map 1:1 across clouds.</w:t>
      </w:r>
    </w:p>
    <w:p w14:paraId="7B1670CF"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Lack of a central trust broker:</w:t>
      </w:r>
      <w:r>
        <w:rPr>
          <w:rFonts w:ascii="Calibri" w:eastAsia="Calibri" w:hAnsi="Calibri" w:cs="Calibri"/>
          <w:sz w:val="22"/>
          <w:szCs w:val="22"/>
        </w:rPr>
        <w:t xml:space="preserve"> Without a central identity broker, each cloud may independently provision and de-provision accounts, leading to stale or orphaned identities that are missed during offboarding.</w:t>
      </w:r>
    </w:p>
    <w:p w14:paraId="26F2A4C5" w14:textId="77777777" w:rsidR="00524474" w:rsidRDefault="00000000">
      <w:pPr>
        <w:pStyle w:val="ListParagraph"/>
        <w:numPr>
          <w:ilvl w:val="0"/>
          <w:numId w:val="2"/>
        </w:numPr>
        <w:spacing w:after="90" w:line="290" w:lineRule="auto"/>
      </w:pPr>
      <w:r>
        <w:rPr>
          <w:rFonts w:ascii="Calibri" w:eastAsia="Calibri" w:hAnsi="Calibri" w:cs="Calibri"/>
          <w:b/>
          <w:bCs/>
          <w:sz w:val="22"/>
          <w:szCs w:val="22"/>
        </w:rPr>
        <w:t>Certificate/metadata drift:</w:t>
      </w:r>
      <w:r>
        <w:rPr>
          <w:rFonts w:ascii="Calibri" w:eastAsia="Calibri" w:hAnsi="Calibri" w:cs="Calibri"/>
          <w:sz w:val="22"/>
          <w:szCs w:val="22"/>
        </w:rPr>
        <w:t xml:space="preserve"> Federation trust relationships (metadata, certificates, token lifetimes) are configured inconsistently or expire without synchronized renewal, silently breaking cross-cloud authentication.</w:t>
      </w:r>
    </w:p>
    <w:p w14:paraId="45A7DEE0"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3. Federation Concepts Relevant to the Solution</w:t>
      </w:r>
    </w:p>
    <w:p w14:paraId="541E11E3" w14:textId="77777777" w:rsidR="00524474" w:rsidRDefault="00000000">
      <w:pPr>
        <w:pStyle w:val="Heading2"/>
        <w:spacing w:before="220" w:after="100"/>
      </w:pPr>
      <w:r>
        <w:rPr>
          <w:rFonts w:ascii="Calibri" w:eastAsia="Calibri" w:hAnsi="Calibri" w:cs="Calibri"/>
          <w:b/>
          <w:bCs/>
          <w:color w:val="1F4E79"/>
          <w:sz w:val="24"/>
          <w:szCs w:val="24"/>
        </w:rPr>
        <w:t>3.1 Identity Federation</w:t>
      </w:r>
    </w:p>
    <w:p w14:paraId="20A11B7E" w14:textId="77777777" w:rsidR="00524474" w:rsidRDefault="00000000">
      <w:pPr>
        <w:spacing w:after="120" w:line="300" w:lineRule="auto"/>
        <w:jc w:val="both"/>
      </w:pPr>
      <w:r>
        <w:rPr>
          <w:rFonts w:ascii="Calibri" w:eastAsia="Calibri" w:hAnsi="Calibri" w:cs="Calibri"/>
          <w:sz w:val="22"/>
          <w:szCs w:val="22"/>
        </w:rPr>
        <w:t>Identity federation allows a user authenticated by one trusted Identity Provider (IdP) to access resources across multiple Service Providers (SPs) — in this case, multiple cloud platforms — without re-authenticating separately at each one. Federation relies on a trust relationship established via standard protocols: SAML 2.0 (XML-based assertions, common in enterprise SSO), OpenID Connect/OAuth 2.0 (JSON/JWT-based, common in modern cloud-native and API-driven systems), and increasingly, WS-Federation in legacy environments.</w:t>
      </w:r>
    </w:p>
    <w:p w14:paraId="5FA86512" w14:textId="77777777" w:rsidR="00524474" w:rsidRDefault="00000000">
      <w:pPr>
        <w:pStyle w:val="Heading2"/>
        <w:spacing w:before="220" w:after="100"/>
      </w:pPr>
      <w:r>
        <w:rPr>
          <w:rFonts w:ascii="Calibri" w:eastAsia="Calibri" w:hAnsi="Calibri" w:cs="Calibri"/>
          <w:b/>
          <w:bCs/>
          <w:color w:val="1F4E79"/>
          <w:sz w:val="24"/>
          <w:szCs w:val="24"/>
        </w:rPr>
        <w:t>3.2 Identity Broker / Federation Hub Pattern</w:t>
      </w:r>
    </w:p>
    <w:p w14:paraId="5A3A5B7F" w14:textId="77777777" w:rsidR="00524474" w:rsidRDefault="00000000">
      <w:pPr>
        <w:spacing w:after="120" w:line="300" w:lineRule="auto"/>
        <w:jc w:val="both"/>
      </w:pPr>
      <w:r>
        <w:rPr>
          <w:rFonts w:ascii="Calibri" w:eastAsia="Calibri" w:hAnsi="Calibri" w:cs="Calibri"/>
          <w:sz w:val="22"/>
          <w:szCs w:val="22"/>
        </w:rPr>
        <w:lastRenderedPageBreak/>
        <w:t>Rather than each cloud provider trusting every other provider directly (an unscalable mesh of trust relationships), a central Identity Broker (e.g., Keycloak, Azure AD/Entra ID, Okta, Ping Identity) sits between the organization's authoritative identity source and each cloud provider. The broker translates a single authoritative identity and its attributes into the token format and claims structure each downstream cloud expects, establishing a hub-and-spoke trust model instead of a fragile mesh.</w:t>
      </w:r>
    </w:p>
    <w:p w14:paraId="0BD50FED" w14:textId="77777777" w:rsidR="00524474" w:rsidRDefault="00000000">
      <w:pPr>
        <w:pStyle w:val="Heading2"/>
        <w:spacing w:before="220" w:after="100"/>
      </w:pPr>
      <w:r>
        <w:rPr>
          <w:rFonts w:ascii="Calibri" w:eastAsia="Calibri" w:hAnsi="Calibri" w:cs="Calibri"/>
          <w:b/>
          <w:bCs/>
          <w:color w:val="1F4E79"/>
          <w:sz w:val="24"/>
          <w:szCs w:val="24"/>
        </w:rPr>
        <w:t>3.3 Claims-Based, Attribute-Based Access Control</w:t>
      </w:r>
    </w:p>
    <w:p w14:paraId="07D0A316" w14:textId="77777777" w:rsidR="00524474" w:rsidRDefault="00000000">
      <w:pPr>
        <w:spacing w:after="120" w:line="300" w:lineRule="auto"/>
        <w:jc w:val="both"/>
      </w:pPr>
      <w:r>
        <w:rPr>
          <w:rFonts w:ascii="Calibri" w:eastAsia="Calibri" w:hAnsi="Calibri" w:cs="Calibri"/>
          <w:sz w:val="22"/>
          <w:szCs w:val="22"/>
        </w:rPr>
        <w:t>Instead of relying on provider-specific role names, access decisions are driven by standardized claims/attributes (e.g., department, clearance_level, employment_status) issued consistently by the broker and mapped, per provider, to that provider's native role/policy model. This decouples the organization's logical access model from each cloud's implementation-specific IAM.</w:t>
      </w:r>
    </w:p>
    <w:p w14:paraId="6A0D2801"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4. Proposed Secure Identity and Privacy Design</w:t>
      </w:r>
    </w:p>
    <w:p w14:paraId="15C4A43A" w14:textId="77777777" w:rsidR="00524474" w:rsidRDefault="00000000">
      <w:pPr>
        <w:pStyle w:val="Heading2"/>
        <w:spacing w:before="220" w:after="100"/>
      </w:pPr>
      <w:r>
        <w:rPr>
          <w:rFonts w:ascii="Calibri" w:eastAsia="Calibri" w:hAnsi="Calibri" w:cs="Calibri"/>
          <w:b/>
          <w:bCs/>
          <w:color w:val="1F4E79"/>
          <w:sz w:val="24"/>
          <w:szCs w:val="24"/>
        </w:rPr>
        <w:t>4.1 Centralized Authoritative Identity Source</w:t>
      </w:r>
    </w:p>
    <w:p w14:paraId="33DD1432" w14:textId="77777777" w:rsidR="00524474" w:rsidRDefault="00000000">
      <w:pPr>
        <w:spacing w:after="120" w:line="300" w:lineRule="auto"/>
        <w:jc w:val="both"/>
      </w:pPr>
      <w:r>
        <w:rPr>
          <w:rFonts w:ascii="Calibri" w:eastAsia="Calibri" w:hAnsi="Calibri" w:cs="Calibri"/>
          <w:sz w:val="22"/>
          <w:szCs w:val="22"/>
        </w:rPr>
        <w:t>Establish a single authoritative Identity Provider (e.g., an enterprise directory such as Azure AD/Entra ID or a dedicated IdP) as the sole source of truth for user identities, group memberships, and lifecycle events (joiner/mover/leaver). All cloud providers federate to this IdP rather than maintaining independent identity stores.</w:t>
      </w:r>
    </w:p>
    <w:p w14:paraId="435C94CF" w14:textId="77777777" w:rsidR="00524474" w:rsidRDefault="00000000">
      <w:pPr>
        <w:pStyle w:val="Heading2"/>
        <w:spacing w:before="220" w:after="100"/>
      </w:pPr>
      <w:r>
        <w:rPr>
          <w:rFonts w:ascii="Calibri" w:eastAsia="Calibri" w:hAnsi="Calibri" w:cs="Calibri"/>
          <w:b/>
          <w:bCs/>
          <w:color w:val="1F4E79"/>
          <w:sz w:val="24"/>
          <w:szCs w:val="24"/>
        </w:rPr>
        <w:t>4.2 Identity Broker with Protocol and Claims Translation</w:t>
      </w:r>
    </w:p>
    <w:p w14:paraId="51C5B073" w14:textId="77777777" w:rsidR="00524474" w:rsidRDefault="00000000">
      <w:pPr>
        <w:spacing w:after="120" w:line="300" w:lineRule="auto"/>
        <w:jc w:val="both"/>
      </w:pPr>
      <w:r>
        <w:rPr>
          <w:rFonts w:ascii="Calibri" w:eastAsia="Calibri" w:hAnsi="Calibri" w:cs="Calibri"/>
          <w:sz w:val="22"/>
          <w:szCs w:val="22"/>
        </w:rPr>
        <w:t>Deploy a federation broker between the authoritative IdP and each cloud provider. The broker normalizes attribute schemas into a canonical claims format, issues provider-specific tokens (SAML assertion for one cloud, OIDC JWT for another) from that canonical identity, and maintains explicit, versioned mapping tables between canonical roles/attributes and each provider's native IAM roles — eliminating ad-hoc, undocumented role mappings.</w:t>
      </w:r>
    </w:p>
    <w:p w14:paraId="280F1128" w14:textId="77777777" w:rsidR="00524474" w:rsidRDefault="00000000">
      <w:pPr>
        <w:pStyle w:val="Heading2"/>
        <w:spacing w:before="220" w:after="100"/>
      </w:pPr>
      <w:r>
        <w:rPr>
          <w:rFonts w:ascii="Calibri" w:eastAsia="Calibri" w:hAnsi="Calibri" w:cs="Calibri"/>
          <w:b/>
          <w:bCs/>
          <w:color w:val="1F4E79"/>
          <w:sz w:val="24"/>
          <w:szCs w:val="24"/>
        </w:rPr>
        <w:t>4.3 Standardized Protocols with Short-Lived Tokens</w:t>
      </w:r>
    </w:p>
    <w:p w14:paraId="6511FC27" w14:textId="77777777" w:rsidR="00524474" w:rsidRDefault="00000000">
      <w:pPr>
        <w:spacing w:after="120" w:line="300" w:lineRule="auto"/>
        <w:jc w:val="both"/>
      </w:pPr>
      <w:r>
        <w:rPr>
          <w:rFonts w:ascii="Calibri" w:eastAsia="Calibri" w:hAnsi="Calibri" w:cs="Calibri"/>
          <w:sz w:val="22"/>
          <w:szCs w:val="22"/>
        </w:rPr>
        <w:t>Use OpenID Connect/OAuth 2.0 with short-lived access tokens and refresh tokens (or SAML with short assertion validity windows) so that a compromised token has a limited blast radius, and require mutual TLS or signed/encrypted assertions between the broker and each cloud provider to prevent token tampering or interception.</w:t>
      </w:r>
    </w:p>
    <w:p w14:paraId="7E034F16" w14:textId="77777777" w:rsidR="00524474" w:rsidRDefault="00000000">
      <w:pPr>
        <w:pStyle w:val="Heading2"/>
        <w:spacing w:before="220" w:after="100"/>
      </w:pPr>
      <w:r>
        <w:rPr>
          <w:rFonts w:ascii="Calibri" w:eastAsia="Calibri" w:hAnsi="Calibri" w:cs="Calibri"/>
          <w:b/>
          <w:bCs/>
          <w:color w:val="1F4E79"/>
          <w:sz w:val="24"/>
          <w:szCs w:val="24"/>
        </w:rPr>
        <w:t>4.4 Multi-Factor Authentication and Risk-Based Access</w:t>
      </w:r>
    </w:p>
    <w:p w14:paraId="5FFE06E9" w14:textId="77777777" w:rsidR="00524474" w:rsidRDefault="00000000">
      <w:pPr>
        <w:spacing w:after="120" w:line="300" w:lineRule="auto"/>
        <w:jc w:val="both"/>
      </w:pPr>
      <w:r>
        <w:rPr>
          <w:rFonts w:ascii="Calibri" w:eastAsia="Calibri" w:hAnsi="Calibri" w:cs="Calibri"/>
          <w:sz w:val="22"/>
          <w:szCs w:val="22"/>
        </w:rPr>
        <w:t>Enforce MFA at the authoritative IdP (not redundantly and inconsistently at each cloud), and apply conditional/risk-based access policies (device posture, geolocation, anomalous behavior) centrally so that policy is consistent across all federated clouds rather than fragmented.</w:t>
      </w:r>
    </w:p>
    <w:p w14:paraId="2F5C05AB" w14:textId="77777777" w:rsidR="00524474" w:rsidRDefault="00000000">
      <w:pPr>
        <w:pStyle w:val="Heading2"/>
        <w:spacing w:before="220" w:after="100"/>
      </w:pPr>
      <w:r>
        <w:rPr>
          <w:rFonts w:ascii="Calibri" w:eastAsia="Calibri" w:hAnsi="Calibri" w:cs="Calibri"/>
          <w:b/>
          <w:bCs/>
          <w:color w:val="1F4E79"/>
          <w:sz w:val="24"/>
          <w:szCs w:val="24"/>
        </w:rPr>
        <w:t>4.5 Consistent Lifecycle Management (Provisioning/De-provisioning)</w:t>
      </w:r>
    </w:p>
    <w:p w14:paraId="78522F9C" w14:textId="77777777" w:rsidR="00524474" w:rsidRDefault="00000000">
      <w:pPr>
        <w:spacing w:after="120" w:line="300" w:lineRule="auto"/>
        <w:jc w:val="both"/>
      </w:pPr>
      <w:r>
        <w:rPr>
          <w:rFonts w:ascii="Calibri" w:eastAsia="Calibri" w:hAnsi="Calibri" w:cs="Calibri"/>
          <w:sz w:val="22"/>
          <w:szCs w:val="22"/>
        </w:rPr>
        <w:t xml:space="preserve">Use the System for Cross-domain Identity Management (SCIM) protocol between the broker and each cloud provider to automate account provisioning, attribute updates, and — critically — immediate de-provisioning </w:t>
      </w:r>
      <w:r>
        <w:rPr>
          <w:rFonts w:ascii="Calibri" w:eastAsia="Calibri" w:hAnsi="Calibri" w:cs="Calibri"/>
          <w:sz w:val="22"/>
          <w:szCs w:val="22"/>
        </w:rPr>
        <w:lastRenderedPageBreak/>
        <w:t>across all providers simultaneously when a user leaves or changes role, closing the orphaned-account gap that caused failures in the original federation.</w:t>
      </w:r>
    </w:p>
    <w:p w14:paraId="03F9603F" w14:textId="77777777" w:rsidR="00524474" w:rsidRDefault="00000000">
      <w:pPr>
        <w:pStyle w:val="Heading2"/>
        <w:spacing w:before="220" w:after="100"/>
      </w:pPr>
      <w:r>
        <w:rPr>
          <w:rFonts w:ascii="Calibri" w:eastAsia="Calibri" w:hAnsi="Calibri" w:cs="Calibri"/>
          <w:b/>
          <w:bCs/>
          <w:color w:val="1F4E79"/>
          <w:sz w:val="24"/>
          <w:szCs w:val="24"/>
        </w:rPr>
        <w:t>4.6 Privacy-Preserving Attribute Release</w:t>
      </w:r>
    </w:p>
    <w:p w14:paraId="10EE0C02" w14:textId="77777777" w:rsidR="00524474" w:rsidRDefault="00000000">
      <w:pPr>
        <w:spacing w:after="120" w:line="300" w:lineRule="auto"/>
        <w:jc w:val="both"/>
      </w:pPr>
      <w:r>
        <w:rPr>
          <w:rFonts w:ascii="Calibri" w:eastAsia="Calibri" w:hAnsi="Calibri" w:cs="Calibri"/>
          <w:sz w:val="22"/>
          <w:szCs w:val="22"/>
        </w:rPr>
        <w:t>Apply the principle of minimal disclosure: the broker releases only the specific claims each provider needs to make its access decision (data minimization), rather than a full identity profile, reducing cross-provider privacy exposure. Where possible, use pseudonymous or pairwise identifiers per provider (as OIDC supports) so that a user's activity cannot be trivially correlated across unrelated cloud providers by comparing identifiers, protecting user privacy even among federated partners.</w:t>
      </w:r>
    </w:p>
    <w:p w14:paraId="174F6845" w14:textId="77777777" w:rsidR="00524474" w:rsidRDefault="00000000">
      <w:pPr>
        <w:pStyle w:val="Heading2"/>
        <w:spacing w:before="220" w:after="100"/>
      </w:pPr>
      <w:r>
        <w:rPr>
          <w:rFonts w:ascii="Calibri" w:eastAsia="Calibri" w:hAnsi="Calibri" w:cs="Calibri"/>
          <w:b/>
          <w:bCs/>
          <w:color w:val="1F4E79"/>
          <w:sz w:val="24"/>
          <w:szCs w:val="24"/>
        </w:rPr>
        <w:t>4.7 Centralized Auditing and Monitoring</w:t>
      </w:r>
    </w:p>
    <w:p w14:paraId="5C5FD3BD" w14:textId="77777777" w:rsidR="00524474" w:rsidRDefault="00000000">
      <w:pPr>
        <w:spacing w:after="120" w:line="300" w:lineRule="auto"/>
        <w:jc w:val="both"/>
      </w:pPr>
      <w:r>
        <w:rPr>
          <w:rFonts w:ascii="Calibri" w:eastAsia="Calibri" w:hAnsi="Calibri" w:cs="Calibri"/>
          <w:sz w:val="22"/>
          <w:szCs w:val="22"/>
        </w:rPr>
        <w:t>Aggregate authentication and authorization logs from all providers back through the broker (or a SIEM integrated with it) to maintain a single, consistent audit trail across the federation — essential for compliance (e.g., HIPAA, PCI-DSS, GDPR) and for detecting cross-cloud attack patterns that would be invisible if each provider's logs were reviewed in isolation.</w:t>
      </w:r>
    </w:p>
    <w:p w14:paraId="634AEE19"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5. Design Summary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800"/>
      </w:tblGrid>
      <w:tr w:rsidR="00524474" w14:paraId="21329516" w14:textId="77777777">
        <w:tblPrEx>
          <w:tblCellMar>
            <w:top w:w="0" w:type="dxa"/>
            <w:bottom w:w="0" w:type="dxa"/>
          </w:tblCellMar>
        </w:tblPrEx>
        <w:trPr>
          <w:tblHeader/>
        </w:trPr>
        <w:tc>
          <w:tcPr>
            <w:tcW w:w="3400" w:type="dxa"/>
            <w:shd w:val="clear" w:color="auto" w:fill="1F4E79"/>
            <w:tcMar>
              <w:top w:w="80" w:type="dxa"/>
              <w:left w:w="100" w:type="dxa"/>
              <w:bottom w:w="80" w:type="dxa"/>
              <w:right w:w="100" w:type="dxa"/>
            </w:tcMar>
          </w:tcPr>
          <w:p w14:paraId="4C9D1943" w14:textId="77777777" w:rsidR="00524474" w:rsidRDefault="00000000">
            <w:r>
              <w:rPr>
                <w:rFonts w:ascii="Calibri" w:eastAsia="Calibri" w:hAnsi="Calibri" w:cs="Calibri"/>
                <w:b/>
                <w:bCs/>
                <w:color w:val="FFFFFF"/>
              </w:rPr>
              <w:t>Design Element</w:t>
            </w:r>
          </w:p>
        </w:tc>
        <w:tc>
          <w:tcPr>
            <w:tcW w:w="5800" w:type="dxa"/>
            <w:shd w:val="clear" w:color="auto" w:fill="1F4E79"/>
            <w:tcMar>
              <w:top w:w="80" w:type="dxa"/>
              <w:left w:w="100" w:type="dxa"/>
              <w:bottom w:w="80" w:type="dxa"/>
              <w:right w:w="100" w:type="dxa"/>
            </w:tcMar>
          </w:tcPr>
          <w:p w14:paraId="41DEF38F" w14:textId="77777777" w:rsidR="00524474" w:rsidRDefault="00000000">
            <w:r>
              <w:rPr>
                <w:rFonts w:ascii="Calibri" w:eastAsia="Calibri" w:hAnsi="Calibri" w:cs="Calibri"/>
                <w:b/>
                <w:bCs/>
                <w:color w:val="FFFFFF"/>
              </w:rPr>
              <w:t>Purpose</w:t>
            </w:r>
          </w:p>
        </w:tc>
      </w:tr>
      <w:tr w:rsidR="00524474" w14:paraId="39402694" w14:textId="77777777">
        <w:tblPrEx>
          <w:tblCellMar>
            <w:top w:w="0" w:type="dxa"/>
            <w:bottom w:w="0" w:type="dxa"/>
          </w:tblCellMar>
        </w:tblPrEx>
        <w:tc>
          <w:tcPr>
            <w:tcW w:w="3400" w:type="dxa"/>
            <w:shd w:val="clear" w:color="auto" w:fill="F2F6FA"/>
            <w:tcMar>
              <w:top w:w="70" w:type="dxa"/>
              <w:left w:w="100" w:type="dxa"/>
              <w:bottom w:w="70" w:type="dxa"/>
              <w:right w:w="100" w:type="dxa"/>
            </w:tcMar>
          </w:tcPr>
          <w:p w14:paraId="2C8E2231" w14:textId="77777777" w:rsidR="00524474" w:rsidRDefault="00000000">
            <w:r>
              <w:rPr>
                <w:rFonts w:ascii="Calibri" w:eastAsia="Calibri" w:hAnsi="Calibri" w:cs="Calibri"/>
              </w:rPr>
              <w:t>Central authoritative IdP</w:t>
            </w:r>
          </w:p>
        </w:tc>
        <w:tc>
          <w:tcPr>
            <w:tcW w:w="5800" w:type="dxa"/>
            <w:shd w:val="clear" w:color="auto" w:fill="F2F6FA"/>
            <w:tcMar>
              <w:top w:w="70" w:type="dxa"/>
              <w:left w:w="100" w:type="dxa"/>
              <w:bottom w:w="70" w:type="dxa"/>
              <w:right w:w="100" w:type="dxa"/>
            </w:tcMar>
          </w:tcPr>
          <w:p w14:paraId="63C28A4A" w14:textId="77777777" w:rsidR="00524474" w:rsidRDefault="00000000">
            <w:r>
              <w:rPr>
                <w:rFonts w:ascii="Calibri" w:eastAsia="Calibri" w:hAnsi="Calibri" w:cs="Calibri"/>
              </w:rPr>
              <w:t>Single source of truth for identity; eliminates duplicate/conflicting accounts</w:t>
            </w:r>
          </w:p>
        </w:tc>
      </w:tr>
      <w:tr w:rsidR="00524474" w14:paraId="0788271A"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6D14D29B" w14:textId="77777777" w:rsidR="00524474" w:rsidRDefault="00000000">
            <w:r>
              <w:rPr>
                <w:rFonts w:ascii="Calibri" w:eastAsia="Calibri" w:hAnsi="Calibri" w:cs="Calibri"/>
              </w:rPr>
              <w:t>Identity broker (hub-and-spoke)</w:t>
            </w:r>
          </w:p>
        </w:tc>
        <w:tc>
          <w:tcPr>
            <w:tcW w:w="5800" w:type="dxa"/>
            <w:shd w:val="clear" w:color="auto" w:fill="FFFFFF"/>
            <w:tcMar>
              <w:top w:w="70" w:type="dxa"/>
              <w:left w:w="100" w:type="dxa"/>
              <w:bottom w:w="70" w:type="dxa"/>
              <w:right w:w="100" w:type="dxa"/>
            </w:tcMar>
          </w:tcPr>
          <w:p w14:paraId="52E07227" w14:textId="77777777" w:rsidR="00524474" w:rsidRDefault="00000000">
            <w:r>
              <w:rPr>
                <w:rFonts w:ascii="Calibri" w:eastAsia="Calibri" w:hAnsi="Calibri" w:cs="Calibri"/>
              </w:rPr>
              <w:t>Translates protocols/claims between IdP and each cloud; avoids mesh trust complexity</w:t>
            </w:r>
          </w:p>
        </w:tc>
      </w:tr>
      <w:tr w:rsidR="00524474" w14:paraId="677BB5A6" w14:textId="77777777">
        <w:tblPrEx>
          <w:tblCellMar>
            <w:top w:w="0" w:type="dxa"/>
            <w:bottom w:w="0" w:type="dxa"/>
          </w:tblCellMar>
        </w:tblPrEx>
        <w:tc>
          <w:tcPr>
            <w:tcW w:w="3400" w:type="dxa"/>
            <w:shd w:val="clear" w:color="auto" w:fill="F2F6FA"/>
            <w:tcMar>
              <w:top w:w="70" w:type="dxa"/>
              <w:left w:w="100" w:type="dxa"/>
              <w:bottom w:w="70" w:type="dxa"/>
              <w:right w:w="100" w:type="dxa"/>
            </w:tcMar>
          </w:tcPr>
          <w:p w14:paraId="0D50B743" w14:textId="77777777" w:rsidR="00524474" w:rsidRDefault="00000000">
            <w:r>
              <w:rPr>
                <w:rFonts w:ascii="Calibri" w:eastAsia="Calibri" w:hAnsi="Calibri" w:cs="Calibri"/>
              </w:rPr>
              <w:t>Canonical claims + per-provider role mapping</w:t>
            </w:r>
          </w:p>
        </w:tc>
        <w:tc>
          <w:tcPr>
            <w:tcW w:w="5800" w:type="dxa"/>
            <w:shd w:val="clear" w:color="auto" w:fill="F2F6FA"/>
            <w:tcMar>
              <w:top w:w="70" w:type="dxa"/>
              <w:left w:w="100" w:type="dxa"/>
              <w:bottom w:w="70" w:type="dxa"/>
              <w:right w:w="100" w:type="dxa"/>
            </w:tcMar>
          </w:tcPr>
          <w:p w14:paraId="6C933C43" w14:textId="77777777" w:rsidR="00524474" w:rsidRDefault="00000000">
            <w:r>
              <w:rPr>
                <w:rFonts w:ascii="Calibri" w:eastAsia="Calibri" w:hAnsi="Calibri" w:cs="Calibri"/>
              </w:rPr>
              <w:t>Ensures consistent, correct authorization across heterogeneous IAM models</w:t>
            </w:r>
          </w:p>
        </w:tc>
      </w:tr>
      <w:tr w:rsidR="00524474" w14:paraId="4BE87B4D"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0FF47CF2" w14:textId="77777777" w:rsidR="00524474" w:rsidRDefault="00000000">
            <w:r>
              <w:rPr>
                <w:rFonts w:ascii="Calibri" w:eastAsia="Calibri" w:hAnsi="Calibri" w:cs="Calibri"/>
              </w:rPr>
              <w:t>OIDC/SAML with short-lived, signed tokens</w:t>
            </w:r>
          </w:p>
        </w:tc>
        <w:tc>
          <w:tcPr>
            <w:tcW w:w="5800" w:type="dxa"/>
            <w:shd w:val="clear" w:color="auto" w:fill="FFFFFF"/>
            <w:tcMar>
              <w:top w:w="70" w:type="dxa"/>
              <w:left w:w="100" w:type="dxa"/>
              <w:bottom w:w="70" w:type="dxa"/>
              <w:right w:w="100" w:type="dxa"/>
            </w:tcMar>
          </w:tcPr>
          <w:p w14:paraId="316A0903" w14:textId="77777777" w:rsidR="00524474" w:rsidRDefault="00000000">
            <w:r>
              <w:rPr>
                <w:rFonts w:ascii="Calibri" w:eastAsia="Calibri" w:hAnsi="Calibri" w:cs="Calibri"/>
              </w:rPr>
              <w:t>Secures cross-cloud authentication and limits compromise impact</w:t>
            </w:r>
          </w:p>
        </w:tc>
      </w:tr>
      <w:tr w:rsidR="00524474" w14:paraId="0EDD6804" w14:textId="77777777">
        <w:tblPrEx>
          <w:tblCellMar>
            <w:top w:w="0" w:type="dxa"/>
            <w:bottom w:w="0" w:type="dxa"/>
          </w:tblCellMar>
        </w:tblPrEx>
        <w:tc>
          <w:tcPr>
            <w:tcW w:w="3400" w:type="dxa"/>
            <w:shd w:val="clear" w:color="auto" w:fill="F2F6FA"/>
            <w:tcMar>
              <w:top w:w="70" w:type="dxa"/>
              <w:left w:w="100" w:type="dxa"/>
              <w:bottom w:w="70" w:type="dxa"/>
              <w:right w:w="100" w:type="dxa"/>
            </w:tcMar>
          </w:tcPr>
          <w:p w14:paraId="30CF1031" w14:textId="77777777" w:rsidR="00524474" w:rsidRDefault="00000000">
            <w:r>
              <w:rPr>
                <w:rFonts w:ascii="Calibri" w:eastAsia="Calibri" w:hAnsi="Calibri" w:cs="Calibri"/>
              </w:rPr>
              <w:t>MFA + conditional access at the broker</w:t>
            </w:r>
          </w:p>
        </w:tc>
        <w:tc>
          <w:tcPr>
            <w:tcW w:w="5800" w:type="dxa"/>
            <w:shd w:val="clear" w:color="auto" w:fill="F2F6FA"/>
            <w:tcMar>
              <w:top w:w="70" w:type="dxa"/>
              <w:left w:w="100" w:type="dxa"/>
              <w:bottom w:w="70" w:type="dxa"/>
              <w:right w:w="100" w:type="dxa"/>
            </w:tcMar>
          </w:tcPr>
          <w:p w14:paraId="12ACEBC4" w14:textId="77777777" w:rsidR="00524474" w:rsidRDefault="00000000">
            <w:r>
              <w:rPr>
                <w:rFonts w:ascii="Calibri" w:eastAsia="Calibri" w:hAnsi="Calibri" w:cs="Calibri"/>
              </w:rPr>
              <w:t>Consistent, strong authentication policy across all providers</w:t>
            </w:r>
          </w:p>
        </w:tc>
      </w:tr>
      <w:tr w:rsidR="00524474" w14:paraId="5245F9D7"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5EEC2290" w14:textId="77777777" w:rsidR="00524474" w:rsidRDefault="00000000">
            <w:r>
              <w:rPr>
                <w:rFonts w:ascii="Calibri" w:eastAsia="Calibri" w:hAnsi="Calibri" w:cs="Calibri"/>
              </w:rPr>
              <w:t>SCIM-based lifecycle automation</w:t>
            </w:r>
          </w:p>
        </w:tc>
        <w:tc>
          <w:tcPr>
            <w:tcW w:w="5800" w:type="dxa"/>
            <w:shd w:val="clear" w:color="auto" w:fill="FFFFFF"/>
            <w:tcMar>
              <w:top w:w="70" w:type="dxa"/>
              <w:left w:w="100" w:type="dxa"/>
              <w:bottom w:w="70" w:type="dxa"/>
              <w:right w:w="100" w:type="dxa"/>
            </w:tcMar>
          </w:tcPr>
          <w:p w14:paraId="23F6E899" w14:textId="77777777" w:rsidR="00524474" w:rsidRDefault="00000000">
            <w:r>
              <w:rPr>
                <w:rFonts w:ascii="Calibri" w:eastAsia="Calibri" w:hAnsi="Calibri" w:cs="Calibri"/>
              </w:rPr>
              <w:t>Synchronized provisioning/de-provisioning; removes orphaned accounts</w:t>
            </w:r>
          </w:p>
        </w:tc>
      </w:tr>
      <w:tr w:rsidR="00524474" w14:paraId="3DC1AE50" w14:textId="77777777">
        <w:tblPrEx>
          <w:tblCellMar>
            <w:top w:w="0" w:type="dxa"/>
            <w:bottom w:w="0" w:type="dxa"/>
          </w:tblCellMar>
        </w:tblPrEx>
        <w:tc>
          <w:tcPr>
            <w:tcW w:w="3400" w:type="dxa"/>
            <w:shd w:val="clear" w:color="auto" w:fill="F2F6FA"/>
            <w:tcMar>
              <w:top w:w="70" w:type="dxa"/>
              <w:left w:w="100" w:type="dxa"/>
              <w:bottom w:w="70" w:type="dxa"/>
              <w:right w:w="100" w:type="dxa"/>
            </w:tcMar>
          </w:tcPr>
          <w:p w14:paraId="618E9926" w14:textId="77777777" w:rsidR="00524474" w:rsidRDefault="00000000">
            <w:r>
              <w:rPr>
                <w:rFonts w:ascii="Calibri" w:eastAsia="Calibri" w:hAnsi="Calibri" w:cs="Calibri"/>
              </w:rPr>
              <w:t>Minimal disclosure / pairwise identifiers</w:t>
            </w:r>
          </w:p>
        </w:tc>
        <w:tc>
          <w:tcPr>
            <w:tcW w:w="5800" w:type="dxa"/>
            <w:shd w:val="clear" w:color="auto" w:fill="F2F6FA"/>
            <w:tcMar>
              <w:top w:w="70" w:type="dxa"/>
              <w:left w:w="100" w:type="dxa"/>
              <w:bottom w:w="70" w:type="dxa"/>
              <w:right w:w="100" w:type="dxa"/>
            </w:tcMar>
          </w:tcPr>
          <w:p w14:paraId="36964429" w14:textId="77777777" w:rsidR="00524474" w:rsidRDefault="00000000">
            <w:r>
              <w:rPr>
                <w:rFonts w:ascii="Calibri" w:eastAsia="Calibri" w:hAnsi="Calibri" w:cs="Calibri"/>
              </w:rPr>
              <w:t>Protects user privacy and limits cross-provider correlation</w:t>
            </w:r>
          </w:p>
        </w:tc>
      </w:tr>
      <w:tr w:rsidR="00524474" w14:paraId="3CF61D4F" w14:textId="77777777">
        <w:tblPrEx>
          <w:tblCellMar>
            <w:top w:w="0" w:type="dxa"/>
            <w:bottom w:w="0" w:type="dxa"/>
          </w:tblCellMar>
        </w:tblPrEx>
        <w:tc>
          <w:tcPr>
            <w:tcW w:w="3400" w:type="dxa"/>
            <w:shd w:val="clear" w:color="auto" w:fill="FFFFFF"/>
            <w:tcMar>
              <w:top w:w="70" w:type="dxa"/>
              <w:left w:w="100" w:type="dxa"/>
              <w:bottom w:w="70" w:type="dxa"/>
              <w:right w:w="100" w:type="dxa"/>
            </w:tcMar>
          </w:tcPr>
          <w:p w14:paraId="4A490F99" w14:textId="77777777" w:rsidR="00524474" w:rsidRDefault="00000000">
            <w:r>
              <w:rPr>
                <w:rFonts w:ascii="Calibri" w:eastAsia="Calibri" w:hAnsi="Calibri" w:cs="Calibri"/>
              </w:rPr>
              <w:t>Centralized audit/log aggregation</w:t>
            </w:r>
          </w:p>
        </w:tc>
        <w:tc>
          <w:tcPr>
            <w:tcW w:w="5800" w:type="dxa"/>
            <w:shd w:val="clear" w:color="auto" w:fill="FFFFFF"/>
            <w:tcMar>
              <w:top w:w="70" w:type="dxa"/>
              <w:left w:w="100" w:type="dxa"/>
              <w:bottom w:w="70" w:type="dxa"/>
              <w:right w:w="100" w:type="dxa"/>
            </w:tcMar>
          </w:tcPr>
          <w:p w14:paraId="6FE846EE" w14:textId="77777777" w:rsidR="00524474" w:rsidRDefault="00000000">
            <w:r>
              <w:rPr>
                <w:rFonts w:ascii="Calibri" w:eastAsia="Calibri" w:hAnsi="Calibri" w:cs="Calibri"/>
              </w:rPr>
              <w:t>Unified visibility and compliance across the federation</w:t>
            </w:r>
          </w:p>
        </w:tc>
      </w:tr>
    </w:tbl>
    <w:p w14:paraId="48CF3B7C" w14:textId="77777777" w:rsidR="00524474" w:rsidRDefault="00000000">
      <w:pPr>
        <w:pStyle w:val="Heading1"/>
        <w:pBdr>
          <w:bottom w:val="single" w:sz="6" w:space="4" w:color="1F4E79"/>
        </w:pBdr>
        <w:spacing w:before="300" w:after="150"/>
      </w:pPr>
      <w:r>
        <w:rPr>
          <w:rFonts w:ascii="Calibri" w:eastAsia="Calibri" w:hAnsi="Calibri" w:cs="Calibri"/>
          <w:b/>
          <w:bCs/>
          <w:color w:val="1F4E79"/>
          <w:sz w:val="30"/>
          <w:szCs w:val="30"/>
        </w:rPr>
        <w:t>6. Conclusion</w:t>
      </w:r>
    </w:p>
    <w:p w14:paraId="5129F171" w14:textId="77777777" w:rsidR="00524474" w:rsidRDefault="00000000">
      <w:pPr>
        <w:spacing w:after="120" w:line="300" w:lineRule="auto"/>
        <w:jc w:val="both"/>
      </w:pPr>
      <w:r>
        <w:rPr>
          <w:rFonts w:ascii="Calibri" w:eastAsia="Calibri" w:hAnsi="Calibri" w:cs="Calibri"/>
          <w:sz w:val="22"/>
          <w:szCs w:val="22"/>
        </w:rPr>
        <w:t xml:space="preserve">The identity mismatch that caused the multi-cloud federation project to fail stems from heterogeneous, independently managed identity systems without a unifying trust and translation layer. A secure design resolves this by centralizing authoritative identity, introducing a broker that federates via standard protocols (SAML/OIDC) with explicit claims-to-role mapping, automating lifecycle management via SCIM, and embedding privacy protections such as data minimization and pairwise identifiers. This hub-and-spoke federation architecture </w:t>
      </w:r>
      <w:r>
        <w:rPr>
          <w:rFonts w:ascii="Calibri" w:eastAsia="Calibri" w:hAnsi="Calibri" w:cs="Calibri"/>
          <w:sz w:val="22"/>
          <w:szCs w:val="22"/>
        </w:rPr>
        <w:lastRenderedPageBreak/>
        <w:t>restores consistent, secure, and auditable identity across all participating cloud providers while remaining scalable as additional providers join the federation.</w:t>
      </w:r>
    </w:p>
    <w:sectPr w:rsidR="0052447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B3362" w14:textId="77777777" w:rsidR="00F83DB4" w:rsidRDefault="00F83DB4">
      <w:r>
        <w:separator/>
      </w:r>
    </w:p>
  </w:endnote>
  <w:endnote w:type="continuationSeparator" w:id="0">
    <w:p w14:paraId="7F573EC2" w14:textId="77777777" w:rsidR="00F83DB4" w:rsidRDefault="00F83D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26D2F" w14:textId="77777777" w:rsidR="00524474" w:rsidRDefault="00000000">
    <w:pPr>
      <w:jc w:val="center"/>
    </w:pPr>
    <w:r>
      <w:rPr>
        <w:rFonts w:ascii="Calibri" w:eastAsia="Calibri" w:hAnsi="Calibri" w:cs="Calibri"/>
        <w:color w:val="888888"/>
        <w:sz w:val="18"/>
        <w:szCs w:val="18"/>
      </w:rPr>
      <w:t xml:space="preserve">Page </w:t>
    </w:r>
    <w:r>
      <w:rPr>
        <w:rFonts w:ascii="Calibri" w:eastAsia="Calibri" w:hAnsi="Calibri" w:cs="Calibri"/>
        <w:color w:val="888888"/>
        <w:sz w:val="18"/>
        <w:szCs w:val="18"/>
      </w:rPr>
      <w:fldChar w:fldCharType="begin"/>
    </w:r>
    <w:r>
      <w:rPr>
        <w:rFonts w:ascii="Calibri" w:eastAsia="Calibri" w:hAnsi="Calibri" w:cs="Calibri"/>
        <w:color w:val="888888"/>
        <w:sz w:val="18"/>
        <w:szCs w:val="18"/>
      </w:rPr>
      <w:instrText>PAGE</w:instrText>
    </w:r>
    <w:r>
      <w:rPr>
        <w:rFonts w:ascii="Calibri" w:eastAsia="Calibri" w:hAnsi="Calibri" w:cs="Calibri"/>
        <w:color w:val="888888"/>
        <w:sz w:val="18"/>
        <w:szCs w:val="18"/>
      </w:rPr>
      <w:fldChar w:fldCharType="separate"/>
    </w:r>
    <w:r w:rsidR="000F0D78">
      <w:rPr>
        <w:rFonts w:ascii="Calibri" w:eastAsia="Calibri" w:hAnsi="Calibri" w:cs="Calibri"/>
        <w:noProof/>
        <w:color w:val="888888"/>
        <w:sz w:val="18"/>
        <w:szCs w:val="18"/>
      </w:rPr>
      <w:t>1</w:t>
    </w:r>
    <w:r>
      <w:rPr>
        <w:rFonts w:ascii="Calibri" w:eastAsia="Calibri" w:hAnsi="Calibri" w:cs="Calibri"/>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2858F" w14:textId="77777777" w:rsidR="00F83DB4" w:rsidRDefault="00F83DB4">
      <w:r>
        <w:separator/>
      </w:r>
    </w:p>
  </w:footnote>
  <w:footnote w:type="continuationSeparator" w:id="0">
    <w:p w14:paraId="39075EB0" w14:textId="77777777" w:rsidR="00F83DB4" w:rsidRDefault="00F83D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05BE9" w14:textId="77777777" w:rsidR="00524474" w:rsidRDefault="00000000">
    <w:pPr>
      <w:pBdr>
        <w:bottom w:val="single" w:sz="4" w:space="2" w:color="AAAAAA"/>
      </w:pBdr>
      <w:jc w:val="right"/>
    </w:pPr>
    <w:r>
      <w:rPr>
        <w:rFonts w:ascii="Calibri" w:eastAsia="Calibri" w:hAnsi="Calibri" w:cs="Calibri"/>
        <w:color w:val="888888"/>
        <w:sz w:val="16"/>
        <w:szCs w:val="16"/>
      </w:rPr>
      <w:t>Analytical Problem Solving —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10AE7"/>
    <w:multiLevelType w:val="hybridMultilevel"/>
    <w:tmpl w:val="7FF079C8"/>
    <w:lvl w:ilvl="0" w:tplc="9454FF6A">
      <w:start w:val="1"/>
      <w:numFmt w:val="bullet"/>
      <w:lvlText w:val="●"/>
      <w:lvlJc w:val="left"/>
      <w:pPr>
        <w:ind w:left="720" w:hanging="360"/>
      </w:pPr>
    </w:lvl>
    <w:lvl w:ilvl="1" w:tplc="2EFAA25C">
      <w:start w:val="1"/>
      <w:numFmt w:val="bullet"/>
      <w:lvlText w:val="○"/>
      <w:lvlJc w:val="left"/>
      <w:pPr>
        <w:ind w:left="1440" w:hanging="360"/>
      </w:pPr>
    </w:lvl>
    <w:lvl w:ilvl="2" w:tplc="45F06BB4">
      <w:start w:val="1"/>
      <w:numFmt w:val="bullet"/>
      <w:lvlText w:val="■"/>
      <w:lvlJc w:val="left"/>
      <w:pPr>
        <w:ind w:left="2160" w:hanging="360"/>
      </w:pPr>
    </w:lvl>
    <w:lvl w:ilvl="3" w:tplc="614879D6">
      <w:start w:val="1"/>
      <w:numFmt w:val="bullet"/>
      <w:lvlText w:val="●"/>
      <w:lvlJc w:val="left"/>
      <w:pPr>
        <w:ind w:left="2880" w:hanging="360"/>
      </w:pPr>
    </w:lvl>
    <w:lvl w:ilvl="4" w:tplc="7696D72C">
      <w:start w:val="1"/>
      <w:numFmt w:val="bullet"/>
      <w:lvlText w:val="○"/>
      <w:lvlJc w:val="left"/>
      <w:pPr>
        <w:ind w:left="3600" w:hanging="360"/>
      </w:pPr>
    </w:lvl>
    <w:lvl w:ilvl="5" w:tplc="71287F6A">
      <w:start w:val="1"/>
      <w:numFmt w:val="bullet"/>
      <w:lvlText w:val="■"/>
      <w:lvlJc w:val="left"/>
      <w:pPr>
        <w:ind w:left="4320" w:hanging="360"/>
      </w:pPr>
    </w:lvl>
    <w:lvl w:ilvl="6" w:tplc="83889412">
      <w:start w:val="1"/>
      <w:numFmt w:val="bullet"/>
      <w:lvlText w:val="●"/>
      <w:lvlJc w:val="left"/>
      <w:pPr>
        <w:ind w:left="5040" w:hanging="360"/>
      </w:pPr>
    </w:lvl>
    <w:lvl w:ilvl="7" w:tplc="F4C49D20">
      <w:start w:val="1"/>
      <w:numFmt w:val="bullet"/>
      <w:lvlText w:val="●"/>
      <w:lvlJc w:val="left"/>
      <w:pPr>
        <w:ind w:left="5760" w:hanging="360"/>
      </w:pPr>
    </w:lvl>
    <w:lvl w:ilvl="8" w:tplc="4C34F138">
      <w:start w:val="1"/>
      <w:numFmt w:val="bullet"/>
      <w:lvlText w:val="●"/>
      <w:lvlJc w:val="left"/>
      <w:pPr>
        <w:ind w:left="6480" w:hanging="360"/>
      </w:pPr>
    </w:lvl>
  </w:abstractNum>
  <w:abstractNum w:abstractNumId="1" w15:restartNumberingAfterBreak="0">
    <w:nsid w:val="50743E74"/>
    <w:multiLevelType w:val="hybridMultilevel"/>
    <w:tmpl w:val="64C8A63A"/>
    <w:lvl w:ilvl="0" w:tplc="6DD4BFCE">
      <w:start w:val="1"/>
      <w:numFmt w:val="bullet"/>
      <w:lvlText w:val="•"/>
      <w:lvlJc w:val="left"/>
      <w:pPr>
        <w:ind w:left="460" w:hanging="260"/>
      </w:pPr>
    </w:lvl>
    <w:lvl w:ilvl="1" w:tplc="F1AE2B56">
      <w:numFmt w:val="decimal"/>
      <w:lvlText w:val=""/>
      <w:lvlJc w:val="left"/>
    </w:lvl>
    <w:lvl w:ilvl="2" w:tplc="0FD0F276">
      <w:numFmt w:val="decimal"/>
      <w:lvlText w:val=""/>
      <w:lvlJc w:val="left"/>
    </w:lvl>
    <w:lvl w:ilvl="3" w:tplc="17C435AA">
      <w:numFmt w:val="decimal"/>
      <w:lvlText w:val=""/>
      <w:lvlJc w:val="left"/>
    </w:lvl>
    <w:lvl w:ilvl="4" w:tplc="026405E8">
      <w:numFmt w:val="decimal"/>
      <w:lvlText w:val=""/>
      <w:lvlJc w:val="left"/>
    </w:lvl>
    <w:lvl w:ilvl="5" w:tplc="CDC6C1B2">
      <w:numFmt w:val="decimal"/>
      <w:lvlText w:val=""/>
      <w:lvlJc w:val="left"/>
    </w:lvl>
    <w:lvl w:ilvl="6" w:tplc="51C09D8A">
      <w:numFmt w:val="decimal"/>
      <w:lvlText w:val=""/>
      <w:lvlJc w:val="left"/>
    </w:lvl>
    <w:lvl w:ilvl="7" w:tplc="5378BE62">
      <w:numFmt w:val="decimal"/>
      <w:lvlText w:val=""/>
      <w:lvlJc w:val="left"/>
    </w:lvl>
    <w:lvl w:ilvl="8" w:tplc="47CE21FC">
      <w:numFmt w:val="decimal"/>
      <w:lvlText w:val=""/>
      <w:lvlJc w:val="left"/>
    </w:lvl>
  </w:abstractNum>
  <w:num w:numId="1" w16cid:durableId="334192589">
    <w:abstractNumId w:val="0"/>
    <w:lvlOverride w:ilvl="0">
      <w:startOverride w:val="1"/>
    </w:lvlOverride>
  </w:num>
  <w:num w:numId="2" w16cid:durableId="20908882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474"/>
    <w:rsid w:val="000F0D78"/>
    <w:rsid w:val="00524474"/>
    <w:rsid w:val="00F23AD9"/>
    <w:rsid w:val="00F83D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5391D"/>
  <w15:docId w15:val="{65478543-BF8E-45A0-8585-13933AF1ED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5183</Words>
  <Characters>29549</Characters>
  <Application>Microsoft Office Word</Application>
  <DocSecurity>0</DocSecurity>
  <Lines>246</Lines>
  <Paragraphs>69</Paragraphs>
  <ScaleCrop>false</ScaleCrop>
  <Company/>
  <LinksUpToDate>false</LinksUpToDate>
  <CharactersWithSpaces>34663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Mithun reddy Lingala</cp:lastModifiedBy>
  <cp:revision>2</cp:revision>
  <dcterms:created xsi:type="dcterms:W3CDTF">2026-08-07T07:50:00Z</dcterms:created>
  <dcterms:modified xsi:type="dcterms:W3CDTF">2026-08-07T07:58:00Z</dcterms:modified>
</cp:coreProperties>
</file>