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AD04" w14:textId="77777777" w:rsidR="00E41399" w:rsidRDefault="00E41399">
      <w:pPr>
        <w:spacing w:before="2000"/>
      </w:pPr>
    </w:p>
    <w:p w14:paraId="423831EB" w14:textId="3650BA35" w:rsidR="00377280" w:rsidRDefault="00377280">
      <w:pPr>
        <w:jc w:val="center"/>
        <w:rPr>
          <w:rFonts w:ascii="Calibri" w:eastAsia="Calibri" w:hAnsi="Calibri" w:cs="Calibri"/>
          <w:b/>
          <w:bCs/>
          <w:color w:val="1F4E79"/>
          <w:sz w:val="50"/>
          <w:szCs w:val="50"/>
        </w:rPr>
      </w:pPr>
      <w:r>
        <w:rPr>
          <w:rFonts w:ascii="Calibri" w:eastAsia="Calibri" w:hAnsi="Calibri" w:cs="Calibri"/>
          <w:b/>
          <w:bCs/>
          <w:color w:val="1F4E79"/>
          <w:sz w:val="50"/>
          <w:szCs w:val="50"/>
        </w:rPr>
        <w:t>CO2_AT2</w:t>
      </w:r>
    </w:p>
    <w:p w14:paraId="00DFD872" w14:textId="77777777" w:rsidR="00E41399" w:rsidRDefault="00000000">
      <w:pPr>
        <w:jc w:val="center"/>
      </w:pPr>
      <w:r>
        <w:rPr>
          <w:rFonts w:ascii="Calibri" w:eastAsia="Calibri" w:hAnsi="Calibri" w:cs="Calibri"/>
          <w:b/>
          <w:bCs/>
          <w:color w:val="1F4E79"/>
          <w:sz w:val="50"/>
          <w:szCs w:val="50"/>
        </w:rPr>
        <w:t>Scenario-Based Questions</w:t>
      </w:r>
    </w:p>
    <w:p w14:paraId="0C491555" w14:textId="77777777" w:rsidR="00377280" w:rsidRDefault="00377280">
      <w:pPr>
        <w:spacing w:before="200" w:after="100"/>
        <w:jc w:val="center"/>
        <w:rPr>
          <w:rFonts w:ascii="Calibri" w:eastAsia="Calibri" w:hAnsi="Calibri" w:cs="Calibri"/>
          <w:color w:val="444444"/>
          <w:sz w:val="28"/>
          <w:szCs w:val="28"/>
        </w:rPr>
      </w:pPr>
    </w:p>
    <w:p w14:paraId="024D1A08" w14:textId="77777777" w:rsidR="00377280" w:rsidRDefault="00377280">
      <w:pPr>
        <w:spacing w:before="200" w:after="100"/>
        <w:jc w:val="center"/>
        <w:rPr>
          <w:rFonts w:ascii="Calibri" w:eastAsia="Calibri" w:hAnsi="Calibri" w:cs="Calibri"/>
          <w:color w:val="444444"/>
          <w:sz w:val="28"/>
          <w:szCs w:val="28"/>
        </w:rPr>
      </w:pPr>
    </w:p>
    <w:p w14:paraId="2018B881" w14:textId="77777777" w:rsidR="00377280" w:rsidRDefault="00377280">
      <w:pPr>
        <w:spacing w:before="200" w:after="100"/>
        <w:jc w:val="center"/>
        <w:rPr>
          <w:rFonts w:ascii="Calibri" w:eastAsia="Calibri" w:hAnsi="Calibri" w:cs="Calibri"/>
          <w:color w:val="444444"/>
          <w:sz w:val="28"/>
          <w:szCs w:val="28"/>
        </w:rPr>
      </w:pPr>
    </w:p>
    <w:p w14:paraId="382B8100" w14:textId="67F139C0" w:rsidR="00377280" w:rsidRDefault="00377280">
      <w:pPr>
        <w:spacing w:before="200" w:after="100"/>
        <w:jc w:val="center"/>
        <w:rPr>
          <w:rFonts w:ascii="Calibri" w:eastAsia="Calibri" w:hAnsi="Calibri" w:cs="Calibri"/>
          <w:color w:val="444444"/>
          <w:sz w:val="28"/>
          <w:szCs w:val="28"/>
        </w:rPr>
      </w:pPr>
      <w:r>
        <w:rPr>
          <w:rFonts w:ascii="Calibri" w:eastAsia="Calibri" w:hAnsi="Calibri" w:cs="Calibri"/>
          <w:color w:val="444444"/>
          <w:sz w:val="28"/>
          <w:szCs w:val="28"/>
        </w:rPr>
        <w:t>L.Mithun Kumar Reddy</w:t>
      </w:r>
    </w:p>
    <w:p w14:paraId="65450943" w14:textId="499601EB" w:rsidR="00377280" w:rsidRDefault="00377280">
      <w:pPr>
        <w:spacing w:before="200" w:after="100"/>
        <w:jc w:val="center"/>
        <w:rPr>
          <w:rFonts w:ascii="Calibri" w:eastAsia="Calibri" w:hAnsi="Calibri" w:cs="Calibri"/>
          <w:color w:val="444444"/>
          <w:sz w:val="28"/>
          <w:szCs w:val="28"/>
        </w:rPr>
      </w:pPr>
      <w:r>
        <w:rPr>
          <w:rFonts w:ascii="Calibri" w:eastAsia="Calibri" w:hAnsi="Calibri" w:cs="Calibri"/>
          <w:color w:val="444444"/>
          <w:sz w:val="28"/>
          <w:szCs w:val="28"/>
        </w:rPr>
        <w:t>192365017</w:t>
      </w:r>
    </w:p>
    <w:p w14:paraId="71D9DF06" w14:textId="77777777" w:rsidR="00377280" w:rsidRDefault="00377280">
      <w:pPr>
        <w:spacing w:before="200" w:after="100"/>
        <w:jc w:val="center"/>
        <w:rPr>
          <w:rFonts w:ascii="Calibri" w:eastAsia="Calibri" w:hAnsi="Calibri" w:cs="Calibri"/>
          <w:color w:val="444444"/>
          <w:sz w:val="28"/>
          <w:szCs w:val="28"/>
        </w:rPr>
      </w:pPr>
    </w:p>
    <w:p w14:paraId="1E9A5F5E" w14:textId="77777777" w:rsidR="00377280" w:rsidRDefault="00377280">
      <w:pPr>
        <w:spacing w:before="200" w:after="100"/>
        <w:jc w:val="center"/>
        <w:rPr>
          <w:rFonts w:ascii="Calibri" w:eastAsia="Calibri" w:hAnsi="Calibri" w:cs="Calibri"/>
          <w:color w:val="444444"/>
          <w:sz w:val="28"/>
          <w:szCs w:val="28"/>
        </w:rPr>
      </w:pPr>
    </w:p>
    <w:p w14:paraId="502CAF5B" w14:textId="77777777" w:rsidR="00377280" w:rsidRDefault="00377280">
      <w:pPr>
        <w:spacing w:before="200" w:after="100"/>
        <w:jc w:val="center"/>
        <w:rPr>
          <w:rFonts w:ascii="Calibri" w:eastAsia="Calibri" w:hAnsi="Calibri" w:cs="Calibri"/>
          <w:color w:val="444444"/>
          <w:sz w:val="28"/>
          <w:szCs w:val="28"/>
        </w:rPr>
      </w:pPr>
    </w:p>
    <w:p w14:paraId="267F3940" w14:textId="35BF3E10" w:rsidR="00E41399" w:rsidRDefault="00000000">
      <w:pPr>
        <w:spacing w:before="200" w:after="100"/>
        <w:jc w:val="center"/>
      </w:pPr>
      <w:r>
        <w:rPr>
          <w:rFonts w:ascii="Calibri" w:eastAsia="Calibri" w:hAnsi="Calibri" w:cs="Calibri"/>
          <w:color w:val="444444"/>
          <w:sz w:val="28"/>
          <w:szCs w:val="28"/>
        </w:rPr>
        <w:t>Cloud Computing — Assignment</w:t>
      </w:r>
    </w:p>
    <w:p w14:paraId="79C409B0" w14:textId="77777777" w:rsidR="00E41399" w:rsidRDefault="00000000">
      <w:pPr>
        <w:spacing w:before="100"/>
        <w:jc w:val="center"/>
      </w:pPr>
      <w:r>
        <w:rPr>
          <w:rFonts w:ascii="Calibri" w:eastAsia="Calibri" w:hAnsi="Calibri" w:cs="Calibri"/>
          <w:i/>
          <w:iCs/>
          <w:color w:val="666666"/>
          <w:sz w:val="22"/>
          <w:szCs w:val="22"/>
        </w:rPr>
        <w:t>Streaming Architecture, Multi-Cloud Containers, DR Strategy, Hybrid Cloud, and Multi-Region HA</w:t>
      </w:r>
    </w:p>
    <w:p w14:paraId="70B4AE8A" w14:textId="77777777" w:rsidR="00E41399" w:rsidRDefault="00E41399">
      <w:pPr>
        <w:spacing w:before="3000"/>
      </w:pPr>
    </w:p>
    <w:p w14:paraId="5E98E7A1" w14:textId="77777777" w:rsidR="00E41399" w:rsidRDefault="00000000">
      <w:r>
        <w:br w:type="page"/>
      </w:r>
    </w:p>
    <w:p w14:paraId="2AFB034D" w14:textId="77777777" w:rsidR="00E41399" w:rsidRDefault="00000000">
      <w:pPr>
        <w:shd w:val="clear" w:color="auto" w:fill="DCE6F1"/>
        <w:spacing w:before="80" w:after="180"/>
      </w:pPr>
      <w:r>
        <w:rPr>
          <w:rFonts w:ascii="Calibri" w:eastAsia="Calibri" w:hAnsi="Calibri" w:cs="Calibri"/>
          <w:b/>
          <w:bCs/>
          <w:color w:val="1F4E79"/>
          <w:sz w:val="25"/>
          <w:szCs w:val="25"/>
        </w:rPr>
        <w:lastRenderedPageBreak/>
        <w:t xml:space="preserve">Question 1: </w:t>
      </w:r>
      <w:r>
        <w:rPr>
          <w:rFonts w:ascii="Calibri" w:eastAsia="Calibri" w:hAnsi="Calibri" w:cs="Calibri"/>
          <w:b/>
          <w:bCs/>
          <w:sz w:val="25"/>
          <w:szCs w:val="25"/>
        </w:rPr>
        <w:t>A media company wants to migrate its video streaming platform to the cloud, handling millions of concurrent users with minimal buffering. Design a cloud architecture using scalability and caching techniques. Explain load balancing and auto-scaling for smooth streaming, and discuss cost optimization strategies.</w:t>
      </w:r>
    </w:p>
    <w:p w14:paraId="7ABA6574"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1. Architectural Requirements</w:t>
      </w:r>
    </w:p>
    <w:p w14:paraId="5BD31417" w14:textId="77777777" w:rsidR="00E41399" w:rsidRDefault="00000000">
      <w:pPr>
        <w:spacing w:after="110" w:line="285" w:lineRule="auto"/>
        <w:jc w:val="both"/>
      </w:pPr>
      <w:r>
        <w:rPr>
          <w:rFonts w:ascii="Calibri" w:eastAsia="Calibri" w:hAnsi="Calibri" w:cs="Calibri"/>
          <w:sz w:val="21"/>
          <w:szCs w:val="21"/>
        </w:rPr>
        <w:t>A video streaming platform serving millions of concurrent users must minimize buffering (latency-sensitive delivery), handle unpredictable regional demand surges (e.g., a popular live event), and remain cost-efficient given the sheer bandwidth involved. The architecture must therefore combine global content distribution, elastic compute, and intelligent caching.</w:t>
      </w:r>
    </w:p>
    <w:p w14:paraId="4BB6A76C"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2. Proposed Cloud Architecture</w:t>
      </w:r>
    </w:p>
    <w:p w14:paraId="3941B7BF" w14:textId="77777777" w:rsidR="00E41399" w:rsidRDefault="00000000">
      <w:pPr>
        <w:pStyle w:val="Heading2"/>
        <w:spacing w:before="180" w:after="90"/>
      </w:pPr>
      <w:r>
        <w:rPr>
          <w:rFonts w:ascii="Calibri" w:eastAsia="Calibri" w:hAnsi="Calibri" w:cs="Calibri"/>
          <w:b/>
          <w:bCs/>
          <w:color w:val="1F4E79"/>
          <w:sz w:val="23"/>
          <w:szCs w:val="23"/>
        </w:rPr>
        <w:t>2.1 Ingestion and Transcoding</w:t>
      </w:r>
    </w:p>
    <w:p w14:paraId="2932E83D" w14:textId="77777777" w:rsidR="00E41399" w:rsidRDefault="00000000">
      <w:pPr>
        <w:spacing w:after="110" w:line="285" w:lineRule="auto"/>
        <w:jc w:val="both"/>
      </w:pPr>
      <w:r>
        <w:rPr>
          <w:rFonts w:ascii="Calibri" w:eastAsia="Calibri" w:hAnsi="Calibri" w:cs="Calibri"/>
          <w:sz w:val="21"/>
          <w:szCs w:val="21"/>
        </w:rPr>
        <w:t>Uploaded video is stored in object storage (e.g., Amazon S3) and processed by a scalable transcoding pipeline (AWS Elemental MediaConvert or similar) that converts source video into multiple resolutions/bitrates for Adaptive Bitrate Streaming (ABR), packaged as HLS/DASH segments. Transcoding jobs run on auto-scaled, often spot-priced, compute clusters since the workload is parallelizable and not latency-sensitive.</w:t>
      </w:r>
    </w:p>
    <w:p w14:paraId="21043B70" w14:textId="77777777" w:rsidR="00E41399" w:rsidRDefault="00000000">
      <w:pPr>
        <w:pStyle w:val="Heading2"/>
        <w:spacing w:before="180" w:after="90"/>
      </w:pPr>
      <w:r>
        <w:rPr>
          <w:rFonts w:ascii="Calibri" w:eastAsia="Calibri" w:hAnsi="Calibri" w:cs="Calibri"/>
          <w:b/>
          <w:bCs/>
          <w:color w:val="1F4E79"/>
          <w:sz w:val="23"/>
          <w:szCs w:val="23"/>
        </w:rPr>
        <w:t>2.2 Global Content Delivery and Caching</w:t>
      </w:r>
    </w:p>
    <w:p w14:paraId="3A68F1E8" w14:textId="77777777" w:rsidR="00E41399" w:rsidRDefault="00000000">
      <w:pPr>
        <w:spacing w:after="110" w:line="285" w:lineRule="auto"/>
        <w:jc w:val="both"/>
      </w:pPr>
      <w:r>
        <w:rPr>
          <w:rFonts w:ascii="Calibri" w:eastAsia="Calibri" w:hAnsi="Calibri" w:cs="Calibri"/>
          <w:sz w:val="21"/>
          <w:szCs w:val="21"/>
        </w:rPr>
        <w:t>Transcoded segments are distributed through a Content Delivery Network (CloudFront, Akamai, Cloudflare) with edge caches positioned close to users worldwide. Because video segments are immutable once created, they are highly cacheable — the CDN serves the vast majority of viewer requests directly from edge locations, keeping origin load low and dramatically reducing latency/buffering. A multi-layer cache hierarchy (edge cache → regional cache → origin) further reduces origin traffic for very popular content.</w:t>
      </w:r>
    </w:p>
    <w:p w14:paraId="6715304A" w14:textId="77777777" w:rsidR="00E41399" w:rsidRDefault="00000000">
      <w:pPr>
        <w:pStyle w:val="Heading2"/>
        <w:spacing w:before="180" w:after="90"/>
      </w:pPr>
      <w:r>
        <w:rPr>
          <w:rFonts w:ascii="Calibri" w:eastAsia="Calibri" w:hAnsi="Calibri" w:cs="Calibri"/>
          <w:b/>
          <w:bCs/>
          <w:color w:val="1F4E79"/>
          <w:sz w:val="23"/>
          <w:szCs w:val="23"/>
        </w:rPr>
        <w:t>2.3 Application and API Tier</w:t>
      </w:r>
    </w:p>
    <w:p w14:paraId="32EA6D03" w14:textId="77777777" w:rsidR="00E41399" w:rsidRDefault="00000000">
      <w:pPr>
        <w:spacing w:after="110" w:line="285" w:lineRule="auto"/>
        <w:jc w:val="both"/>
      </w:pPr>
      <w:r>
        <w:rPr>
          <w:rFonts w:ascii="Calibri" w:eastAsia="Calibri" w:hAnsi="Calibri" w:cs="Calibri"/>
          <w:sz w:val="21"/>
          <w:szCs w:val="21"/>
        </w:rPr>
        <w:t>Stateless microservices (user authentication, recommendation, catalog, playback-session management) run in containers behind regional load balancers, with session state stored in a distributed cache (Redis/Memcached) rather than on individual servers, allowing any instance to serve any request and enabling clean horizontal scaling.</w:t>
      </w:r>
    </w:p>
    <w:p w14:paraId="6664D5AB"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3. Load Balancing and Auto-Scaling for Smooth Streaming</w:t>
      </w:r>
    </w:p>
    <w:p w14:paraId="4565E932"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Load balancing:</w:t>
      </w:r>
      <w:r>
        <w:rPr>
          <w:rFonts w:ascii="Calibri" w:eastAsia="Calibri" w:hAnsi="Calibri" w:cs="Calibri"/>
          <w:sz w:val="21"/>
          <w:szCs w:val="21"/>
        </w:rPr>
        <w:t xml:space="preserve"> Global (DNS/anycast-based) load balancing routes each viewer to the nearest healthy regional cluster, while regional load balancers distribute API and playback-session requests across application instances.</w:t>
      </w:r>
    </w:p>
    <w:p w14:paraId="71B00877"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Auto-scaling:</w:t>
      </w:r>
      <w:r>
        <w:rPr>
          <w:rFonts w:ascii="Calibri" w:eastAsia="Calibri" w:hAnsi="Calibri" w:cs="Calibri"/>
          <w:sz w:val="21"/>
          <w:szCs w:val="21"/>
        </w:rPr>
        <w:t xml:space="preserve"> Auto-scaling groups for the application tier scale based on concurrent session count and CPU/network metrics, adding capacity before a scheduled live event and scaling down afterward; transcoding clusters scale based on queue depth.</w:t>
      </w:r>
    </w:p>
    <w:p w14:paraId="0941AD40"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CDN as the primary scaling layer:</w:t>
      </w:r>
      <w:r>
        <w:rPr>
          <w:rFonts w:ascii="Calibri" w:eastAsia="Calibri" w:hAnsi="Calibri" w:cs="Calibri"/>
          <w:sz w:val="21"/>
          <w:szCs w:val="21"/>
        </w:rPr>
        <w:t xml:space="preserve"> The CDN itself elastically absorbs the overwhelming majority of viewer traffic, meaning the auto-scaled origin/application tier only needs to handle a small fraction of total requests — this is the single biggest lever for supporting millions of concurrent viewers without buffering.</w:t>
      </w:r>
    </w:p>
    <w:p w14:paraId="37A03902"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ABR for client-side resilience:</w:t>
      </w:r>
      <w:r>
        <w:rPr>
          <w:rFonts w:ascii="Calibri" w:eastAsia="Calibri" w:hAnsi="Calibri" w:cs="Calibri"/>
          <w:sz w:val="21"/>
          <w:szCs w:val="21"/>
        </w:rPr>
        <w:t xml:space="preserve"> Adaptive bitrate streaming automatically adjusts each viewer's video quality to their real-time network conditions, preventing buffering even when bandwidth fluctuates.</w:t>
      </w:r>
    </w:p>
    <w:p w14:paraId="18B7C384"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lastRenderedPageBreak/>
        <w:t>4. Cost Optimization Strategies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400"/>
      </w:tblGrid>
      <w:tr w:rsidR="00E41399" w14:paraId="17203C59" w14:textId="77777777">
        <w:tblPrEx>
          <w:tblCellMar>
            <w:top w:w="0" w:type="dxa"/>
            <w:bottom w:w="0" w:type="dxa"/>
          </w:tblCellMar>
        </w:tblPrEx>
        <w:trPr>
          <w:tblHeader/>
        </w:trPr>
        <w:tc>
          <w:tcPr>
            <w:tcW w:w="3800" w:type="dxa"/>
            <w:shd w:val="clear" w:color="auto" w:fill="1F4E79"/>
            <w:tcMar>
              <w:top w:w="70" w:type="dxa"/>
              <w:left w:w="90" w:type="dxa"/>
              <w:bottom w:w="70" w:type="dxa"/>
              <w:right w:w="90" w:type="dxa"/>
            </w:tcMar>
          </w:tcPr>
          <w:p w14:paraId="5CD464DC" w14:textId="77777777" w:rsidR="00E41399" w:rsidRDefault="00000000">
            <w:r>
              <w:rPr>
                <w:rFonts w:ascii="Calibri" w:eastAsia="Calibri" w:hAnsi="Calibri" w:cs="Calibri"/>
                <w:b/>
                <w:bCs/>
                <w:color w:val="FFFFFF"/>
                <w:sz w:val="19"/>
                <w:szCs w:val="19"/>
              </w:rPr>
              <w:t>Strategy</w:t>
            </w:r>
          </w:p>
        </w:tc>
        <w:tc>
          <w:tcPr>
            <w:tcW w:w="5400" w:type="dxa"/>
            <w:shd w:val="clear" w:color="auto" w:fill="1F4E79"/>
            <w:tcMar>
              <w:top w:w="70" w:type="dxa"/>
              <w:left w:w="90" w:type="dxa"/>
              <w:bottom w:w="70" w:type="dxa"/>
              <w:right w:w="90" w:type="dxa"/>
            </w:tcMar>
          </w:tcPr>
          <w:p w14:paraId="5B2E37D1" w14:textId="77777777" w:rsidR="00E41399" w:rsidRDefault="00000000">
            <w:r>
              <w:rPr>
                <w:rFonts w:ascii="Calibri" w:eastAsia="Calibri" w:hAnsi="Calibri" w:cs="Calibri"/>
                <w:b/>
                <w:bCs/>
                <w:color w:val="FFFFFF"/>
                <w:sz w:val="19"/>
                <w:szCs w:val="19"/>
              </w:rPr>
              <w:t>Benefit</w:t>
            </w:r>
          </w:p>
        </w:tc>
      </w:tr>
      <w:tr w:rsidR="00E41399" w14:paraId="417D57D3" w14:textId="77777777">
        <w:tblPrEx>
          <w:tblCellMar>
            <w:top w:w="0" w:type="dxa"/>
            <w:bottom w:w="0" w:type="dxa"/>
          </w:tblCellMar>
        </w:tblPrEx>
        <w:tc>
          <w:tcPr>
            <w:tcW w:w="3800" w:type="dxa"/>
            <w:shd w:val="clear" w:color="auto" w:fill="F2F6FA"/>
            <w:tcMar>
              <w:top w:w="60" w:type="dxa"/>
              <w:left w:w="90" w:type="dxa"/>
              <w:bottom w:w="60" w:type="dxa"/>
              <w:right w:w="90" w:type="dxa"/>
            </w:tcMar>
          </w:tcPr>
          <w:p w14:paraId="4AB7D9A1" w14:textId="77777777" w:rsidR="00E41399" w:rsidRDefault="00000000">
            <w:r>
              <w:rPr>
                <w:rFonts w:ascii="Calibri" w:eastAsia="Calibri" w:hAnsi="Calibri" w:cs="Calibri"/>
                <w:sz w:val="19"/>
                <w:szCs w:val="19"/>
              </w:rPr>
              <w:t>Spot/preemptible instances for transcoding</w:t>
            </w:r>
          </w:p>
        </w:tc>
        <w:tc>
          <w:tcPr>
            <w:tcW w:w="5400" w:type="dxa"/>
            <w:shd w:val="clear" w:color="auto" w:fill="F2F6FA"/>
            <w:tcMar>
              <w:top w:w="60" w:type="dxa"/>
              <w:left w:w="90" w:type="dxa"/>
              <w:bottom w:w="60" w:type="dxa"/>
              <w:right w:w="90" w:type="dxa"/>
            </w:tcMar>
          </w:tcPr>
          <w:p w14:paraId="0A24D147" w14:textId="77777777" w:rsidR="00E41399" w:rsidRDefault="00000000">
            <w:r>
              <w:rPr>
                <w:rFonts w:ascii="Calibri" w:eastAsia="Calibri" w:hAnsi="Calibri" w:cs="Calibri"/>
                <w:sz w:val="19"/>
                <w:szCs w:val="19"/>
              </w:rPr>
              <w:t>Significant cost reduction for parallelizable, interruption-tolerant batch work</w:t>
            </w:r>
          </w:p>
        </w:tc>
      </w:tr>
      <w:tr w:rsidR="00E41399" w14:paraId="58A23DDF" w14:textId="77777777">
        <w:tblPrEx>
          <w:tblCellMar>
            <w:top w:w="0" w:type="dxa"/>
            <w:bottom w:w="0" w:type="dxa"/>
          </w:tblCellMar>
        </w:tblPrEx>
        <w:tc>
          <w:tcPr>
            <w:tcW w:w="3800" w:type="dxa"/>
            <w:shd w:val="clear" w:color="auto" w:fill="FFFFFF"/>
            <w:tcMar>
              <w:top w:w="60" w:type="dxa"/>
              <w:left w:w="90" w:type="dxa"/>
              <w:bottom w:w="60" w:type="dxa"/>
              <w:right w:w="90" w:type="dxa"/>
            </w:tcMar>
          </w:tcPr>
          <w:p w14:paraId="009F1AFD" w14:textId="77777777" w:rsidR="00E41399" w:rsidRDefault="00000000">
            <w:r>
              <w:rPr>
                <w:rFonts w:ascii="Calibri" w:eastAsia="Calibri" w:hAnsi="Calibri" w:cs="Calibri"/>
                <w:sz w:val="19"/>
                <w:szCs w:val="19"/>
              </w:rPr>
              <w:t>CDN caching with long TTLs for VOD content</w:t>
            </w:r>
          </w:p>
        </w:tc>
        <w:tc>
          <w:tcPr>
            <w:tcW w:w="5400" w:type="dxa"/>
            <w:shd w:val="clear" w:color="auto" w:fill="FFFFFF"/>
            <w:tcMar>
              <w:top w:w="60" w:type="dxa"/>
              <w:left w:w="90" w:type="dxa"/>
              <w:bottom w:w="60" w:type="dxa"/>
              <w:right w:w="90" w:type="dxa"/>
            </w:tcMar>
          </w:tcPr>
          <w:p w14:paraId="72DB0D83" w14:textId="77777777" w:rsidR="00E41399" w:rsidRDefault="00000000">
            <w:r>
              <w:rPr>
                <w:rFonts w:ascii="Calibri" w:eastAsia="Calibri" w:hAnsi="Calibri" w:cs="Calibri"/>
                <w:sz w:val="19"/>
                <w:szCs w:val="19"/>
              </w:rPr>
              <w:t>Reduces expensive origin egress bandwidth and compute load</w:t>
            </w:r>
          </w:p>
        </w:tc>
      </w:tr>
      <w:tr w:rsidR="00E41399" w14:paraId="0D29C85A" w14:textId="77777777">
        <w:tblPrEx>
          <w:tblCellMar>
            <w:top w:w="0" w:type="dxa"/>
            <w:bottom w:w="0" w:type="dxa"/>
          </w:tblCellMar>
        </w:tblPrEx>
        <w:tc>
          <w:tcPr>
            <w:tcW w:w="3800" w:type="dxa"/>
            <w:shd w:val="clear" w:color="auto" w:fill="F2F6FA"/>
            <w:tcMar>
              <w:top w:w="60" w:type="dxa"/>
              <w:left w:w="90" w:type="dxa"/>
              <w:bottom w:w="60" w:type="dxa"/>
              <w:right w:w="90" w:type="dxa"/>
            </w:tcMar>
          </w:tcPr>
          <w:p w14:paraId="632C6CF3" w14:textId="77777777" w:rsidR="00E41399" w:rsidRDefault="00000000">
            <w:r>
              <w:rPr>
                <w:rFonts w:ascii="Calibri" w:eastAsia="Calibri" w:hAnsi="Calibri" w:cs="Calibri"/>
                <w:sz w:val="19"/>
                <w:szCs w:val="19"/>
              </w:rPr>
              <w:t>Storage tiering (hot/cool/archive)</w:t>
            </w:r>
          </w:p>
        </w:tc>
        <w:tc>
          <w:tcPr>
            <w:tcW w:w="5400" w:type="dxa"/>
            <w:shd w:val="clear" w:color="auto" w:fill="F2F6FA"/>
            <w:tcMar>
              <w:top w:w="60" w:type="dxa"/>
              <w:left w:w="90" w:type="dxa"/>
              <w:bottom w:w="60" w:type="dxa"/>
              <w:right w:w="90" w:type="dxa"/>
            </w:tcMar>
          </w:tcPr>
          <w:p w14:paraId="3A5C976B" w14:textId="77777777" w:rsidR="00E41399" w:rsidRDefault="00000000">
            <w:r>
              <w:rPr>
                <w:rFonts w:ascii="Calibri" w:eastAsia="Calibri" w:hAnsi="Calibri" w:cs="Calibri"/>
                <w:sz w:val="19"/>
                <w:szCs w:val="19"/>
              </w:rPr>
              <w:t>Older, rarely watched content moved to low-cost storage tiers</w:t>
            </w:r>
          </w:p>
        </w:tc>
      </w:tr>
      <w:tr w:rsidR="00E41399" w14:paraId="6D8A9CF2" w14:textId="77777777">
        <w:tblPrEx>
          <w:tblCellMar>
            <w:top w:w="0" w:type="dxa"/>
            <w:bottom w:w="0" w:type="dxa"/>
          </w:tblCellMar>
        </w:tblPrEx>
        <w:tc>
          <w:tcPr>
            <w:tcW w:w="3800" w:type="dxa"/>
            <w:shd w:val="clear" w:color="auto" w:fill="FFFFFF"/>
            <w:tcMar>
              <w:top w:w="60" w:type="dxa"/>
              <w:left w:w="90" w:type="dxa"/>
              <w:bottom w:w="60" w:type="dxa"/>
              <w:right w:w="90" w:type="dxa"/>
            </w:tcMar>
          </w:tcPr>
          <w:p w14:paraId="16F7EE6D" w14:textId="77777777" w:rsidR="00E41399" w:rsidRDefault="00000000">
            <w:r>
              <w:rPr>
                <w:rFonts w:ascii="Calibri" w:eastAsia="Calibri" w:hAnsi="Calibri" w:cs="Calibri"/>
                <w:sz w:val="19"/>
                <w:szCs w:val="19"/>
              </w:rPr>
              <w:t>Reserved/committed-use instances for baseline load</w:t>
            </w:r>
          </w:p>
        </w:tc>
        <w:tc>
          <w:tcPr>
            <w:tcW w:w="5400" w:type="dxa"/>
            <w:shd w:val="clear" w:color="auto" w:fill="FFFFFF"/>
            <w:tcMar>
              <w:top w:w="60" w:type="dxa"/>
              <w:left w:w="90" w:type="dxa"/>
              <w:bottom w:w="60" w:type="dxa"/>
              <w:right w:w="90" w:type="dxa"/>
            </w:tcMar>
          </w:tcPr>
          <w:p w14:paraId="40829B3F" w14:textId="77777777" w:rsidR="00E41399" w:rsidRDefault="00000000">
            <w:r>
              <w:rPr>
                <w:rFonts w:ascii="Calibri" w:eastAsia="Calibri" w:hAnsi="Calibri" w:cs="Calibri"/>
                <w:sz w:val="19"/>
                <w:szCs w:val="19"/>
              </w:rPr>
              <w:t>Lower cost than on-demand for predictable steady-state traffic</w:t>
            </w:r>
          </w:p>
        </w:tc>
      </w:tr>
      <w:tr w:rsidR="00E41399" w14:paraId="3C1DE4E6" w14:textId="77777777">
        <w:tblPrEx>
          <w:tblCellMar>
            <w:top w:w="0" w:type="dxa"/>
            <w:bottom w:w="0" w:type="dxa"/>
          </w:tblCellMar>
        </w:tblPrEx>
        <w:tc>
          <w:tcPr>
            <w:tcW w:w="3800" w:type="dxa"/>
            <w:shd w:val="clear" w:color="auto" w:fill="F2F6FA"/>
            <w:tcMar>
              <w:top w:w="60" w:type="dxa"/>
              <w:left w:w="90" w:type="dxa"/>
              <w:bottom w:w="60" w:type="dxa"/>
              <w:right w:w="90" w:type="dxa"/>
            </w:tcMar>
          </w:tcPr>
          <w:p w14:paraId="79B3E0AE" w14:textId="77777777" w:rsidR="00E41399" w:rsidRDefault="00000000">
            <w:r>
              <w:rPr>
                <w:rFonts w:ascii="Calibri" w:eastAsia="Calibri" w:hAnsi="Calibri" w:cs="Calibri"/>
                <w:sz w:val="19"/>
                <w:szCs w:val="19"/>
              </w:rPr>
              <w:t>Auto-scaling to match real demand</w:t>
            </w:r>
          </w:p>
        </w:tc>
        <w:tc>
          <w:tcPr>
            <w:tcW w:w="5400" w:type="dxa"/>
            <w:shd w:val="clear" w:color="auto" w:fill="F2F6FA"/>
            <w:tcMar>
              <w:top w:w="60" w:type="dxa"/>
              <w:left w:w="90" w:type="dxa"/>
              <w:bottom w:w="60" w:type="dxa"/>
              <w:right w:w="90" w:type="dxa"/>
            </w:tcMar>
          </w:tcPr>
          <w:p w14:paraId="04BF5B4A" w14:textId="77777777" w:rsidR="00E41399" w:rsidRDefault="00000000">
            <w:r>
              <w:rPr>
                <w:rFonts w:ascii="Calibri" w:eastAsia="Calibri" w:hAnsi="Calibri" w:cs="Calibri"/>
                <w:sz w:val="19"/>
                <w:szCs w:val="19"/>
              </w:rPr>
              <w:t>Avoids paying for peak capacity 24/7</w:t>
            </w:r>
          </w:p>
        </w:tc>
      </w:tr>
    </w:tbl>
    <w:p w14:paraId="61E31C2D"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5. Conclusion</w:t>
      </w:r>
    </w:p>
    <w:p w14:paraId="60BCD545" w14:textId="77777777" w:rsidR="00E41399" w:rsidRDefault="00000000">
      <w:pPr>
        <w:spacing w:after="110" w:line="285" w:lineRule="auto"/>
        <w:jc w:val="both"/>
      </w:pPr>
      <w:r>
        <w:rPr>
          <w:rFonts w:ascii="Calibri" w:eastAsia="Calibri" w:hAnsi="Calibri" w:cs="Calibri"/>
          <w:sz w:val="21"/>
          <w:szCs w:val="21"/>
        </w:rPr>
        <w:t>This architecture achieves minimal buffering at massive scale by offloading the vast majority of traffic to a globally distributed CDN, keeping the origin/application tier stateless and elastically auto-scaled, and applying adaptive bitrate streaming for resilience to network variability — while cost is controlled through spot compute for transcoding, aggressive edge caching, and demand-matched scaling rather than fixed peak provisioning.</w:t>
      </w:r>
    </w:p>
    <w:p w14:paraId="474E999F" w14:textId="77777777" w:rsidR="00E41399" w:rsidRDefault="00000000">
      <w:r>
        <w:br w:type="page"/>
      </w:r>
    </w:p>
    <w:p w14:paraId="2D6855A2" w14:textId="77777777" w:rsidR="00E41399" w:rsidRDefault="00000000">
      <w:pPr>
        <w:shd w:val="clear" w:color="auto" w:fill="DCE6F1"/>
        <w:spacing w:before="80" w:after="180"/>
      </w:pPr>
      <w:r>
        <w:rPr>
          <w:rFonts w:ascii="Calibri" w:eastAsia="Calibri" w:hAnsi="Calibri" w:cs="Calibri"/>
          <w:b/>
          <w:bCs/>
          <w:color w:val="1F4E79"/>
          <w:sz w:val="25"/>
          <w:szCs w:val="25"/>
        </w:rPr>
        <w:lastRenderedPageBreak/>
        <w:t xml:space="preserve">Question 2: </w:t>
      </w:r>
      <w:r>
        <w:rPr>
          <w:rFonts w:ascii="Calibri" w:eastAsia="Calibri" w:hAnsi="Calibri" w:cs="Calibri"/>
          <w:b/>
          <w:bCs/>
          <w:sz w:val="25"/>
          <w:szCs w:val="25"/>
        </w:rPr>
        <w:t>A fintech startup is deploying applications using containers across multiple cloud providers and faces challenges maintaining consistency and managing deployments. Propose a solution using container orchestration and multi-cloud strategies. Explain service discovery and scaling, and highlight benefits/risks of multi-cloud.</w:t>
      </w:r>
    </w:p>
    <w:p w14:paraId="16A9FEC5"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1. The Challenge</w:t>
      </w:r>
    </w:p>
    <w:p w14:paraId="129F9A05" w14:textId="77777777" w:rsidR="00E41399" w:rsidRDefault="00000000">
      <w:pPr>
        <w:spacing w:after="110" w:line="285" w:lineRule="auto"/>
        <w:jc w:val="both"/>
      </w:pPr>
      <w:r>
        <w:rPr>
          <w:rFonts w:ascii="Calibri" w:eastAsia="Calibri" w:hAnsi="Calibri" w:cs="Calibri"/>
          <w:sz w:val="21"/>
          <w:szCs w:val="21"/>
        </w:rPr>
        <w:t>Deploying containers independently across AWS, Azure, and/or GCP without a unifying layer leads to configuration drift, inconsistent deployment processes, duplicated tooling, and difficulty maintaining uniform security and scaling policies — exactly the consistency and management problems the fintech startup faces.</w:t>
      </w:r>
    </w:p>
    <w:p w14:paraId="0FE46C1D"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2. Proposed Solution: Kubernetes-Based Multi-Cloud Orchestration</w:t>
      </w:r>
    </w:p>
    <w:p w14:paraId="49145426" w14:textId="77777777" w:rsidR="00E41399" w:rsidRDefault="00000000">
      <w:pPr>
        <w:spacing w:after="110" w:line="285" w:lineRule="auto"/>
        <w:jc w:val="both"/>
      </w:pPr>
      <w:r>
        <w:rPr>
          <w:rFonts w:ascii="Calibri" w:eastAsia="Calibri" w:hAnsi="Calibri" w:cs="Calibri"/>
          <w:sz w:val="21"/>
          <w:szCs w:val="21"/>
        </w:rPr>
        <w:t>Kubernetes provides a consistent, provider-agnostic orchestration API, so the same declarative manifests (Deployments, Services, ConfigMaps) can be applied to a cluster on any provider (Amazon EKS, Azure AKS, Google GKE) with minimal modification. Deploying a Kubernetes cluster per cloud, managed under a unified control plane (via tools like Anthos, Azure Arc, or Rancher) or coordinated through GitOps (Argo CD/Flux syncing the same Git repository of manifests to every cluster), eliminates configuration drift because every environment is deployed from the same declarative source of truth.</w:t>
      </w:r>
    </w:p>
    <w:p w14:paraId="2BED17D0" w14:textId="77777777" w:rsidR="00E41399" w:rsidRDefault="00000000">
      <w:pPr>
        <w:pStyle w:val="Heading2"/>
        <w:spacing w:before="180" w:after="90"/>
      </w:pPr>
      <w:r>
        <w:rPr>
          <w:rFonts w:ascii="Calibri" w:eastAsia="Calibri" w:hAnsi="Calibri" w:cs="Calibri"/>
          <w:b/>
          <w:bCs/>
          <w:color w:val="1F4E79"/>
          <w:sz w:val="23"/>
          <w:szCs w:val="23"/>
        </w:rPr>
        <w:t>2.1 CI/CD Standardization</w:t>
      </w:r>
    </w:p>
    <w:p w14:paraId="41B75084" w14:textId="77777777" w:rsidR="00E41399" w:rsidRDefault="00000000">
      <w:pPr>
        <w:spacing w:after="110" w:line="285" w:lineRule="auto"/>
        <w:jc w:val="both"/>
      </w:pPr>
      <w:r>
        <w:rPr>
          <w:rFonts w:ascii="Calibri" w:eastAsia="Calibri" w:hAnsi="Calibri" w:cs="Calibri"/>
          <w:sz w:val="21"/>
          <w:szCs w:val="21"/>
        </w:rPr>
        <w:t>A single CI/CD pipeline builds one container image per service and pushes it to a multi-cloud-accessible registry (or mirrors it to each provider's native registry), then triggers GitOps-driven deployment to each cloud's cluster — ensuring every provider runs an identical, version-controlled artifact rather than provider-specific builds.</w:t>
      </w:r>
    </w:p>
    <w:p w14:paraId="3098BC82"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3. Service Discovery and Scaling</w:t>
      </w:r>
    </w:p>
    <w:p w14:paraId="6E8497EC"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Service discovery:</w:t>
      </w:r>
      <w:r>
        <w:rPr>
          <w:rFonts w:ascii="Calibri" w:eastAsia="Calibri" w:hAnsi="Calibri" w:cs="Calibri"/>
          <w:sz w:val="21"/>
          <w:szCs w:val="21"/>
        </w:rPr>
        <w:t xml:space="preserve"> Within each Kubernetes cluster, native service discovery (ClusterIP/DNS-based service names) lets microservices locate one another automatically, without hardcoded IPs. Across clouds, a service mesh (Istio/Linkerd) or a global traffic manager can extend discovery and routing across cluster boundaries, allowing cross-cloud failover or traffic splitting.</w:t>
      </w:r>
    </w:p>
    <w:p w14:paraId="6FC52A9F"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Scaling:</w:t>
      </w:r>
      <w:r>
        <w:rPr>
          <w:rFonts w:ascii="Calibri" w:eastAsia="Calibri" w:hAnsi="Calibri" w:cs="Calibri"/>
          <w:sz w:val="21"/>
          <w:szCs w:val="21"/>
        </w:rPr>
        <w:t xml:space="preserve"> The Horizontal Pod Autoscaler scales pod replicas per service in each cluster based on CPU/custom metrics, while cluster autoscalers adjust the underlying node pool size — this scaling model is identical across all three clouds since it is a Kubernetes-native capability, not provider-specific.</w:t>
      </w:r>
    </w:p>
    <w:p w14:paraId="7A01198F"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Cross-cloud traffic management:</w:t>
      </w:r>
      <w:r>
        <w:rPr>
          <w:rFonts w:ascii="Calibri" w:eastAsia="Calibri" w:hAnsi="Calibri" w:cs="Calibri"/>
          <w:sz w:val="21"/>
          <w:szCs w:val="21"/>
        </w:rPr>
        <w:t xml:space="preserve"> A global load balancer or DNS-based traffic manager (e.g., using latency- or health-based routing) directs users to the nearest or healthiest cloud, enabling cross-cloud load distribution and failover.</w:t>
      </w:r>
    </w:p>
    <w:p w14:paraId="173E7046"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4. Benefits and Risks of Multi-Cloud Deployment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E41399" w14:paraId="3D28BA28" w14:textId="77777777">
        <w:tblPrEx>
          <w:tblCellMar>
            <w:top w:w="0" w:type="dxa"/>
            <w:bottom w:w="0" w:type="dxa"/>
          </w:tblCellMar>
        </w:tblPrEx>
        <w:trPr>
          <w:tblHeader/>
        </w:trPr>
        <w:tc>
          <w:tcPr>
            <w:tcW w:w="4600" w:type="dxa"/>
            <w:shd w:val="clear" w:color="auto" w:fill="1F4E79"/>
            <w:tcMar>
              <w:top w:w="70" w:type="dxa"/>
              <w:left w:w="90" w:type="dxa"/>
              <w:bottom w:w="70" w:type="dxa"/>
              <w:right w:w="90" w:type="dxa"/>
            </w:tcMar>
          </w:tcPr>
          <w:p w14:paraId="5165E181" w14:textId="77777777" w:rsidR="00E41399" w:rsidRDefault="00000000">
            <w:r>
              <w:rPr>
                <w:rFonts w:ascii="Calibri" w:eastAsia="Calibri" w:hAnsi="Calibri" w:cs="Calibri"/>
                <w:b/>
                <w:bCs/>
                <w:color w:val="FFFFFF"/>
                <w:sz w:val="19"/>
                <w:szCs w:val="19"/>
              </w:rPr>
              <w:t>Benefits</w:t>
            </w:r>
          </w:p>
        </w:tc>
        <w:tc>
          <w:tcPr>
            <w:tcW w:w="4600" w:type="dxa"/>
            <w:shd w:val="clear" w:color="auto" w:fill="1F4E79"/>
            <w:tcMar>
              <w:top w:w="70" w:type="dxa"/>
              <w:left w:w="90" w:type="dxa"/>
              <w:bottom w:w="70" w:type="dxa"/>
              <w:right w:w="90" w:type="dxa"/>
            </w:tcMar>
          </w:tcPr>
          <w:p w14:paraId="4C88F4EB" w14:textId="77777777" w:rsidR="00E41399" w:rsidRDefault="00000000">
            <w:r>
              <w:rPr>
                <w:rFonts w:ascii="Calibri" w:eastAsia="Calibri" w:hAnsi="Calibri" w:cs="Calibri"/>
                <w:b/>
                <w:bCs/>
                <w:color w:val="FFFFFF"/>
                <w:sz w:val="19"/>
                <w:szCs w:val="19"/>
              </w:rPr>
              <w:t>Risks</w:t>
            </w:r>
          </w:p>
        </w:tc>
      </w:tr>
      <w:tr w:rsidR="00E41399" w14:paraId="12B9A30A" w14:textId="77777777">
        <w:tblPrEx>
          <w:tblCellMar>
            <w:top w:w="0" w:type="dxa"/>
            <w:bottom w:w="0" w:type="dxa"/>
          </w:tblCellMar>
        </w:tblPrEx>
        <w:tc>
          <w:tcPr>
            <w:tcW w:w="4600" w:type="dxa"/>
            <w:shd w:val="clear" w:color="auto" w:fill="F2F6FA"/>
            <w:tcMar>
              <w:top w:w="60" w:type="dxa"/>
              <w:left w:w="90" w:type="dxa"/>
              <w:bottom w:w="60" w:type="dxa"/>
              <w:right w:w="90" w:type="dxa"/>
            </w:tcMar>
          </w:tcPr>
          <w:p w14:paraId="5E7A61C1" w14:textId="77777777" w:rsidR="00E41399" w:rsidRDefault="00000000">
            <w:r>
              <w:rPr>
                <w:rFonts w:ascii="Calibri" w:eastAsia="Calibri" w:hAnsi="Calibri" w:cs="Calibri"/>
                <w:sz w:val="19"/>
                <w:szCs w:val="19"/>
              </w:rPr>
              <w:t>Avoids vendor lock-in; leverage each provider's strengths</w:t>
            </w:r>
          </w:p>
        </w:tc>
        <w:tc>
          <w:tcPr>
            <w:tcW w:w="4600" w:type="dxa"/>
            <w:shd w:val="clear" w:color="auto" w:fill="F2F6FA"/>
            <w:tcMar>
              <w:top w:w="60" w:type="dxa"/>
              <w:left w:w="90" w:type="dxa"/>
              <w:bottom w:w="60" w:type="dxa"/>
              <w:right w:w="90" w:type="dxa"/>
            </w:tcMar>
          </w:tcPr>
          <w:p w14:paraId="1804FF0F" w14:textId="77777777" w:rsidR="00E41399" w:rsidRDefault="00000000">
            <w:r>
              <w:rPr>
                <w:rFonts w:ascii="Calibri" w:eastAsia="Calibri" w:hAnsi="Calibri" w:cs="Calibri"/>
                <w:sz w:val="19"/>
                <w:szCs w:val="19"/>
              </w:rPr>
              <w:t>Increased operational complexity managing multiple environments</w:t>
            </w:r>
          </w:p>
        </w:tc>
      </w:tr>
      <w:tr w:rsidR="00E41399" w14:paraId="207024B7" w14:textId="77777777">
        <w:tblPrEx>
          <w:tblCellMar>
            <w:top w:w="0" w:type="dxa"/>
            <w:bottom w:w="0" w:type="dxa"/>
          </w:tblCellMar>
        </w:tblPrEx>
        <w:tc>
          <w:tcPr>
            <w:tcW w:w="4600" w:type="dxa"/>
            <w:shd w:val="clear" w:color="auto" w:fill="FFFFFF"/>
            <w:tcMar>
              <w:top w:w="60" w:type="dxa"/>
              <w:left w:w="90" w:type="dxa"/>
              <w:bottom w:w="60" w:type="dxa"/>
              <w:right w:w="90" w:type="dxa"/>
            </w:tcMar>
          </w:tcPr>
          <w:p w14:paraId="76B08022" w14:textId="77777777" w:rsidR="00E41399" w:rsidRDefault="00000000">
            <w:r>
              <w:rPr>
                <w:rFonts w:ascii="Calibri" w:eastAsia="Calibri" w:hAnsi="Calibri" w:cs="Calibri"/>
                <w:sz w:val="19"/>
                <w:szCs w:val="19"/>
              </w:rPr>
              <w:t>Improved resilience — one provider's outage doesn't take down the service</w:t>
            </w:r>
          </w:p>
        </w:tc>
        <w:tc>
          <w:tcPr>
            <w:tcW w:w="4600" w:type="dxa"/>
            <w:shd w:val="clear" w:color="auto" w:fill="FFFFFF"/>
            <w:tcMar>
              <w:top w:w="60" w:type="dxa"/>
              <w:left w:w="90" w:type="dxa"/>
              <w:bottom w:w="60" w:type="dxa"/>
              <w:right w:w="90" w:type="dxa"/>
            </w:tcMar>
          </w:tcPr>
          <w:p w14:paraId="6C309FD2" w14:textId="77777777" w:rsidR="00E41399" w:rsidRDefault="00000000">
            <w:r>
              <w:rPr>
                <w:rFonts w:ascii="Calibri" w:eastAsia="Calibri" w:hAnsi="Calibri" w:cs="Calibri"/>
                <w:sz w:val="19"/>
                <w:szCs w:val="19"/>
              </w:rPr>
              <w:t>Data consistency/replication challenges across clouds</w:t>
            </w:r>
          </w:p>
        </w:tc>
      </w:tr>
      <w:tr w:rsidR="00E41399" w14:paraId="1B5A0150" w14:textId="77777777">
        <w:tblPrEx>
          <w:tblCellMar>
            <w:top w:w="0" w:type="dxa"/>
            <w:bottom w:w="0" w:type="dxa"/>
          </w:tblCellMar>
        </w:tblPrEx>
        <w:tc>
          <w:tcPr>
            <w:tcW w:w="4600" w:type="dxa"/>
            <w:shd w:val="clear" w:color="auto" w:fill="F2F6FA"/>
            <w:tcMar>
              <w:top w:w="60" w:type="dxa"/>
              <w:left w:w="90" w:type="dxa"/>
              <w:bottom w:w="60" w:type="dxa"/>
              <w:right w:w="90" w:type="dxa"/>
            </w:tcMar>
          </w:tcPr>
          <w:p w14:paraId="093D49D7" w14:textId="77777777" w:rsidR="00E41399" w:rsidRDefault="00000000">
            <w:r>
              <w:rPr>
                <w:rFonts w:ascii="Calibri" w:eastAsia="Calibri" w:hAnsi="Calibri" w:cs="Calibri"/>
                <w:sz w:val="19"/>
                <w:szCs w:val="19"/>
              </w:rPr>
              <w:lastRenderedPageBreak/>
              <w:t>Negotiating leverage/cost optimization across providers</w:t>
            </w:r>
          </w:p>
        </w:tc>
        <w:tc>
          <w:tcPr>
            <w:tcW w:w="4600" w:type="dxa"/>
            <w:shd w:val="clear" w:color="auto" w:fill="F2F6FA"/>
            <w:tcMar>
              <w:top w:w="60" w:type="dxa"/>
              <w:left w:w="90" w:type="dxa"/>
              <w:bottom w:w="60" w:type="dxa"/>
              <w:right w:w="90" w:type="dxa"/>
            </w:tcMar>
          </w:tcPr>
          <w:p w14:paraId="0F4669EA" w14:textId="77777777" w:rsidR="00E41399" w:rsidRDefault="00000000">
            <w:r>
              <w:rPr>
                <w:rFonts w:ascii="Calibri" w:eastAsia="Calibri" w:hAnsi="Calibri" w:cs="Calibri"/>
                <w:sz w:val="19"/>
                <w:szCs w:val="19"/>
              </w:rPr>
              <w:t>Higher networking cost for cross-cloud data transfer</w:t>
            </w:r>
          </w:p>
        </w:tc>
      </w:tr>
      <w:tr w:rsidR="00E41399" w14:paraId="77574B80" w14:textId="77777777">
        <w:tblPrEx>
          <w:tblCellMar>
            <w:top w:w="0" w:type="dxa"/>
            <w:bottom w:w="0" w:type="dxa"/>
          </w:tblCellMar>
        </w:tblPrEx>
        <w:tc>
          <w:tcPr>
            <w:tcW w:w="4600" w:type="dxa"/>
            <w:shd w:val="clear" w:color="auto" w:fill="FFFFFF"/>
            <w:tcMar>
              <w:top w:w="60" w:type="dxa"/>
              <w:left w:w="90" w:type="dxa"/>
              <w:bottom w:w="60" w:type="dxa"/>
              <w:right w:w="90" w:type="dxa"/>
            </w:tcMar>
          </w:tcPr>
          <w:p w14:paraId="66F12297" w14:textId="77777777" w:rsidR="00E41399" w:rsidRDefault="00000000">
            <w:r>
              <w:rPr>
                <w:rFonts w:ascii="Calibri" w:eastAsia="Calibri" w:hAnsi="Calibri" w:cs="Calibri"/>
                <w:sz w:val="19"/>
                <w:szCs w:val="19"/>
              </w:rPr>
              <w:t>Regulatory flexibility (data residency choices per provider/region)</w:t>
            </w:r>
          </w:p>
        </w:tc>
        <w:tc>
          <w:tcPr>
            <w:tcW w:w="4600" w:type="dxa"/>
            <w:shd w:val="clear" w:color="auto" w:fill="FFFFFF"/>
            <w:tcMar>
              <w:top w:w="60" w:type="dxa"/>
              <w:left w:w="90" w:type="dxa"/>
              <w:bottom w:w="60" w:type="dxa"/>
              <w:right w:w="90" w:type="dxa"/>
            </w:tcMar>
          </w:tcPr>
          <w:p w14:paraId="4BC8F477" w14:textId="77777777" w:rsidR="00E41399" w:rsidRDefault="00000000">
            <w:r>
              <w:rPr>
                <w:rFonts w:ascii="Calibri" w:eastAsia="Calibri" w:hAnsi="Calibri" w:cs="Calibri"/>
                <w:sz w:val="19"/>
                <w:szCs w:val="19"/>
              </w:rPr>
              <w:t>Security policy consistency is harder to enforce uniformly</w:t>
            </w:r>
          </w:p>
        </w:tc>
      </w:tr>
      <w:tr w:rsidR="00E41399" w14:paraId="6685266A" w14:textId="77777777">
        <w:tblPrEx>
          <w:tblCellMar>
            <w:top w:w="0" w:type="dxa"/>
            <w:bottom w:w="0" w:type="dxa"/>
          </w:tblCellMar>
        </w:tblPrEx>
        <w:tc>
          <w:tcPr>
            <w:tcW w:w="4600" w:type="dxa"/>
            <w:shd w:val="clear" w:color="auto" w:fill="F2F6FA"/>
            <w:tcMar>
              <w:top w:w="60" w:type="dxa"/>
              <w:left w:w="90" w:type="dxa"/>
              <w:bottom w:w="60" w:type="dxa"/>
              <w:right w:w="90" w:type="dxa"/>
            </w:tcMar>
          </w:tcPr>
          <w:p w14:paraId="6AF85845" w14:textId="77777777" w:rsidR="00E41399" w:rsidRDefault="00000000">
            <w:r>
              <w:rPr>
                <w:rFonts w:ascii="Calibri" w:eastAsia="Calibri" w:hAnsi="Calibri" w:cs="Calibri"/>
                <w:sz w:val="19"/>
                <w:szCs w:val="19"/>
              </w:rPr>
              <w:t>Access to best-of-breed managed services per cloud</w:t>
            </w:r>
          </w:p>
        </w:tc>
        <w:tc>
          <w:tcPr>
            <w:tcW w:w="4600" w:type="dxa"/>
            <w:shd w:val="clear" w:color="auto" w:fill="F2F6FA"/>
            <w:tcMar>
              <w:top w:w="60" w:type="dxa"/>
              <w:left w:w="90" w:type="dxa"/>
              <w:bottom w:w="60" w:type="dxa"/>
              <w:right w:w="90" w:type="dxa"/>
            </w:tcMar>
          </w:tcPr>
          <w:p w14:paraId="545F4920" w14:textId="77777777" w:rsidR="00E41399" w:rsidRDefault="00000000">
            <w:r>
              <w:rPr>
                <w:rFonts w:ascii="Calibri" w:eastAsia="Calibri" w:hAnsi="Calibri" w:cs="Calibri"/>
                <w:sz w:val="19"/>
                <w:szCs w:val="19"/>
              </w:rPr>
              <w:t>Steeper learning curve and tooling overhead for the team</w:t>
            </w:r>
          </w:p>
        </w:tc>
      </w:tr>
    </w:tbl>
    <w:p w14:paraId="1D1FAFE3"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5. Conclusion</w:t>
      </w:r>
    </w:p>
    <w:p w14:paraId="63AB6936" w14:textId="77777777" w:rsidR="00E41399" w:rsidRDefault="00000000">
      <w:pPr>
        <w:spacing w:after="110" w:line="285" w:lineRule="auto"/>
        <w:jc w:val="both"/>
      </w:pPr>
      <w:r>
        <w:rPr>
          <w:rFonts w:ascii="Calibri" w:eastAsia="Calibri" w:hAnsi="Calibri" w:cs="Calibri"/>
          <w:sz w:val="21"/>
          <w:szCs w:val="21"/>
        </w:rPr>
        <w:t>For a fintech startup, a Kubernetes-based orchestration layer combined with GitOps-driven, provider-agnostic deployment manifests resolves the consistency problem, while a service mesh and global traffic management handle cross-cloud service discovery and failover. The resulting resilience and negotiating flexibility come at the cost of added operational complexity, which must be managed with strong automation, unified observability, and centralized security policy enforcement (e.g., via Open Policy Agent) across all clusters.</w:t>
      </w:r>
    </w:p>
    <w:p w14:paraId="41F01CFA" w14:textId="77777777" w:rsidR="00E41399" w:rsidRDefault="00000000">
      <w:r>
        <w:br w:type="page"/>
      </w:r>
    </w:p>
    <w:p w14:paraId="33946CED" w14:textId="77777777" w:rsidR="00E41399" w:rsidRDefault="00000000">
      <w:pPr>
        <w:shd w:val="clear" w:color="auto" w:fill="DCE6F1"/>
        <w:spacing w:before="80" w:after="180"/>
      </w:pPr>
      <w:r>
        <w:rPr>
          <w:rFonts w:ascii="Calibri" w:eastAsia="Calibri" w:hAnsi="Calibri" w:cs="Calibri"/>
          <w:b/>
          <w:bCs/>
          <w:color w:val="1F4E79"/>
          <w:sz w:val="25"/>
          <w:szCs w:val="25"/>
        </w:rPr>
        <w:lastRenderedPageBreak/>
        <w:t xml:space="preserve">Question 3: </w:t>
      </w:r>
      <w:r>
        <w:rPr>
          <w:rFonts w:ascii="Calibri" w:eastAsia="Calibri" w:hAnsi="Calibri" w:cs="Calibri"/>
          <w:b/>
          <w:bCs/>
          <w:sz w:val="25"/>
          <w:szCs w:val="25"/>
        </w:rPr>
        <w:t>An e-learning platform experiences data loss due to accidental deletion in the cloud and needs a robust backup and disaster recovery strategy. Design a solution using cloud-native backup, replication, and versioning. Explain how RTO and RPO are achieved, and provide steps to ensure business continuity.</w:t>
      </w:r>
    </w:p>
    <w:p w14:paraId="60238C39"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1. Problem: Accidental Deletion and Data Loss</w:t>
      </w:r>
    </w:p>
    <w:p w14:paraId="4EC75587" w14:textId="77777777" w:rsidR="00E41399" w:rsidRDefault="00000000">
      <w:pPr>
        <w:spacing w:after="110" w:line="285" w:lineRule="auto"/>
        <w:jc w:val="both"/>
      </w:pPr>
      <w:r>
        <w:rPr>
          <w:rFonts w:ascii="Calibri" w:eastAsia="Calibri" w:hAnsi="Calibri" w:cs="Calibri"/>
          <w:sz w:val="21"/>
          <w:szCs w:val="21"/>
        </w:rPr>
        <w:t>Accidental deletion (by a user, administrator, or faulty automation script) is one of the most common causes of cloud data loss, and it is not protected against by infrastructure redundancy alone — redundancy protects against hardware failure, not against a delete command replicated correctly to every copy. A dedicated backup, versioning, and recovery strategy is required.</w:t>
      </w:r>
    </w:p>
    <w:p w14:paraId="5028E852"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2. Designed Solution</w:t>
      </w:r>
    </w:p>
    <w:p w14:paraId="4C65682E" w14:textId="77777777" w:rsidR="00E41399" w:rsidRDefault="00000000">
      <w:pPr>
        <w:pStyle w:val="Heading2"/>
        <w:spacing w:before="180" w:after="90"/>
      </w:pPr>
      <w:r>
        <w:rPr>
          <w:rFonts w:ascii="Calibri" w:eastAsia="Calibri" w:hAnsi="Calibri" w:cs="Calibri"/>
          <w:b/>
          <w:bCs/>
          <w:color w:val="1F4E79"/>
          <w:sz w:val="23"/>
          <w:szCs w:val="23"/>
        </w:rPr>
        <w:t>2.1 Versioning</w:t>
      </w:r>
    </w:p>
    <w:p w14:paraId="695A971B" w14:textId="77777777" w:rsidR="00E41399" w:rsidRDefault="00000000">
      <w:pPr>
        <w:spacing w:after="110" w:line="285" w:lineRule="auto"/>
        <w:jc w:val="both"/>
      </w:pPr>
      <w:r>
        <w:rPr>
          <w:rFonts w:ascii="Calibri" w:eastAsia="Calibri" w:hAnsi="Calibri" w:cs="Calibri"/>
          <w:sz w:val="21"/>
          <w:szCs w:val="21"/>
        </w:rPr>
        <w:t>Enable object versioning on cloud storage (e.g., S3 Versioning) so that every overwrite or delete creates a new version rather than destroying the previous one; a 'delete' becomes a recoverable marker rather than permanent removal. Combined with MFA-delete or a retention lock, this directly prevents accidental (and many malicious) deletions from being unrecoverable.</w:t>
      </w:r>
    </w:p>
    <w:p w14:paraId="5363E450" w14:textId="77777777" w:rsidR="00E41399" w:rsidRDefault="00000000">
      <w:pPr>
        <w:pStyle w:val="Heading2"/>
        <w:spacing w:before="180" w:after="90"/>
      </w:pPr>
      <w:r>
        <w:rPr>
          <w:rFonts w:ascii="Calibri" w:eastAsia="Calibri" w:hAnsi="Calibri" w:cs="Calibri"/>
          <w:b/>
          <w:bCs/>
          <w:color w:val="1F4E79"/>
          <w:sz w:val="23"/>
          <w:szCs w:val="23"/>
        </w:rPr>
        <w:t>2.2 Automated, Scheduled Backups</w:t>
      </w:r>
    </w:p>
    <w:p w14:paraId="3A3AB46B" w14:textId="77777777" w:rsidR="00E41399" w:rsidRDefault="00000000">
      <w:pPr>
        <w:spacing w:after="110" w:line="285" w:lineRule="auto"/>
        <w:jc w:val="both"/>
      </w:pPr>
      <w:r>
        <w:rPr>
          <w:rFonts w:ascii="Calibri" w:eastAsia="Calibri" w:hAnsi="Calibri" w:cs="Calibri"/>
          <w:sz w:val="21"/>
          <w:szCs w:val="21"/>
        </w:rPr>
        <w:t>Cloud-native backup services (AWS Backup, Azure Backup) automatically snapshot databases, file systems, and storage volumes on a defined schedule (e.g., continuous transaction log backup plus daily full snapshots), retained according to a policy (e.g., 35 daily, 12 monthly, 7 yearly points) that balances recovery flexibility against storage cost.</w:t>
      </w:r>
    </w:p>
    <w:p w14:paraId="7928412A" w14:textId="77777777" w:rsidR="00E41399" w:rsidRDefault="00000000">
      <w:pPr>
        <w:pStyle w:val="Heading2"/>
        <w:spacing w:before="180" w:after="90"/>
      </w:pPr>
      <w:r>
        <w:rPr>
          <w:rFonts w:ascii="Calibri" w:eastAsia="Calibri" w:hAnsi="Calibri" w:cs="Calibri"/>
          <w:b/>
          <w:bCs/>
          <w:color w:val="1F4E79"/>
          <w:sz w:val="23"/>
          <w:szCs w:val="23"/>
        </w:rPr>
        <w:t>2.3 Cross-Region Replication</w:t>
      </w:r>
    </w:p>
    <w:p w14:paraId="1858CF5D" w14:textId="77777777" w:rsidR="00E41399" w:rsidRDefault="00000000">
      <w:pPr>
        <w:spacing w:after="110" w:line="285" w:lineRule="auto"/>
        <w:jc w:val="both"/>
      </w:pPr>
      <w:r>
        <w:rPr>
          <w:rFonts w:ascii="Calibri" w:eastAsia="Calibri" w:hAnsi="Calibri" w:cs="Calibri"/>
          <w:sz w:val="21"/>
          <w:szCs w:val="21"/>
        </w:rPr>
        <w:t>Backups and, where feasible, live data are replicated to a geographically separate region, protecting against a regional outage in addition to accidental deletion — the replica in Region B is unaffected by an operator error executed against Region A.</w:t>
      </w:r>
    </w:p>
    <w:p w14:paraId="2217D3DE"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3. Achieving RTO and RPO Targets</w:t>
      </w:r>
    </w:p>
    <w:p w14:paraId="07279E27" w14:textId="77777777" w:rsidR="00E41399" w:rsidRDefault="00000000">
      <w:pPr>
        <w:spacing w:after="110" w:line="285" w:lineRule="auto"/>
        <w:jc w:val="both"/>
      </w:pPr>
      <w:r>
        <w:rPr>
          <w:rFonts w:ascii="Calibri" w:eastAsia="Calibri" w:hAnsi="Calibri" w:cs="Calibri"/>
          <w:sz w:val="21"/>
          <w:szCs w:val="21"/>
        </w:rPr>
        <w:t>Recovery Point Objective (RPO) — the maximum acceptable data loss, measured in time — is achieved through backup frequency: continuous/near-continuous transaction log shipping can bring RPO down to seconds/minutes, while daily snapshots alone imply an RPO of up to 24 hours. Recovery Time Objective (RTO) — the maximum acceptable downtime — is achieved through automation and standby capacity: pre-provisioned (warm or hot) standby infrastructure in the DR region, combined with automated failover scripts/runbooks, achieves a low RTO (minutes), whereas relying on manual, from-scratch rebuild in a cold-DR model implies an RTO of many hours.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400"/>
        <w:gridCol w:w="1800"/>
      </w:tblGrid>
      <w:tr w:rsidR="00E41399" w14:paraId="30773FCB" w14:textId="77777777">
        <w:tblPrEx>
          <w:tblCellMar>
            <w:top w:w="0" w:type="dxa"/>
            <w:bottom w:w="0" w:type="dxa"/>
          </w:tblCellMar>
        </w:tblPrEx>
        <w:trPr>
          <w:tblHeader/>
        </w:trPr>
        <w:tc>
          <w:tcPr>
            <w:tcW w:w="3000" w:type="dxa"/>
            <w:shd w:val="clear" w:color="auto" w:fill="1F4E79"/>
            <w:tcMar>
              <w:top w:w="70" w:type="dxa"/>
              <w:left w:w="90" w:type="dxa"/>
              <w:bottom w:w="70" w:type="dxa"/>
              <w:right w:w="90" w:type="dxa"/>
            </w:tcMar>
          </w:tcPr>
          <w:p w14:paraId="15EB01FB" w14:textId="77777777" w:rsidR="00E41399" w:rsidRDefault="00000000">
            <w:r>
              <w:rPr>
                <w:rFonts w:ascii="Calibri" w:eastAsia="Calibri" w:hAnsi="Calibri" w:cs="Calibri"/>
                <w:b/>
                <w:bCs/>
                <w:color w:val="FFFFFF"/>
                <w:sz w:val="19"/>
                <w:szCs w:val="19"/>
              </w:rPr>
              <w:t>DR Strategy</w:t>
            </w:r>
          </w:p>
        </w:tc>
        <w:tc>
          <w:tcPr>
            <w:tcW w:w="2200" w:type="dxa"/>
            <w:shd w:val="clear" w:color="auto" w:fill="1F4E79"/>
            <w:tcMar>
              <w:top w:w="70" w:type="dxa"/>
              <w:left w:w="90" w:type="dxa"/>
              <w:bottom w:w="70" w:type="dxa"/>
              <w:right w:w="90" w:type="dxa"/>
            </w:tcMar>
          </w:tcPr>
          <w:p w14:paraId="73B7BC6B" w14:textId="77777777" w:rsidR="00E41399" w:rsidRDefault="00000000">
            <w:r>
              <w:rPr>
                <w:rFonts w:ascii="Calibri" w:eastAsia="Calibri" w:hAnsi="Calibri" w:cs="Calibri"/>
                <w:b/>
                <w:bCs/>
                <w:color w:val="FFFFFF"/>
                <w:sz w:val="19"/>
                <w:szCs w:val="19"/>
              </w:rPr>
              <w:t>Typical RPO</w:t>
            </w:r>
          </w:p>
        </w:tc>
        <w:tc>
          <w:tcPr>
            <w:tcW w:w="2400" w:type="dxa"/>
            <w:shd w:val="clear" w:color="auto" w:fill="1F4E79"/>
            <w:tcMar>
              <w:top w:w="70" w:type="dxa"/>
              <w:left w:w="90" w:type="dxa"/>
              <w:bottom w:w="70" w:type="dxa"/>
              <w:right w:w="90" w:type="dxa"/>
            </w:tcMar>
          </w:tcPr>
          <w:p w14:paraId="6AC44496" w14:textId="77777777" w:rsidR="00E41399" w:rsidRDefault="00000000">
            <w:r>
              <w:rPr>
                <w:rFonts w:ascii="Calibri" w:eastAsia="Calibri" w:hAnsi="Calibri" w:cs="Calibri"/>
                <w:b/>
                <w:bCs/>
                <w:color w:val="FFFFFF"/>
                <w:sz w:val="19"/>
                <w:szCs w:val="19"/>
              </w:rPr>
              <w:t>Typical RTO</w:t>
            </w:r>
          </w:p>
        </w:tc>
        <w:tc>
          <w:tcPr>
            <w:tcW w:w="1800" w:type="dxa"/>
            <w:shd w:val="clear" w:color="auto" w:fill="1F4E79"/>
            <w:tcMar>
              <w:top w:w="70" w:type="dxa"/>
              <w:left w:w="90" w:type="dxa"/>
              <w:bottom w:w="70" w:type="dxa"/>
              <w:right w:w="90" w:type="dxa"/>
            </w:tcMar>
          </w:tcPr>
          <w:p w14:paraId="0688281B" w14:textId="77777777" w:rsidR="00E41399" w:rsidRDefault="00000000">
            <w:r>
              <w:rPr>
                <w:rFonts w:ascii="Calibri" w:eastAsia="Calibri" w:hAnsi="Calibri" w:cs="Calibri"/>
                <w:b/>
                <w:bCs/>
                <w:color w:val="FFFFFF"/>
                <w:sz w:val="19"/>
                <w:szCs w:val="19"/>
              </w:rPr>
              <w:t>Relative Cost</w:t>
            </w:r>
          </w:p>
        </w:tc>
      </w:tr>
      <w:tr w:rsidR="00E41399" w14:paraId="08CE6CF2" w14:textId="77777777">
        <w:tblPrEx>
          <w:tblCellMar>
            <w:top w:w="0" w:type="dxa"/>
            <w:bottom w:w="0" w:type="dxa"/>
          </w:tblCellMar>
        </w:tblPrEx>
        <w:tc>
          <w:tcPr>
            <w:tcW w:w="3000" w:type="dxa"/>
            <w:shd w:val="clear" w:color="auto" w:fill="F2F6FA"/>
            <w:tcMar>
              <w:top w:w="60" w:type="dxa"/>
              <w:left w:w="90" w:type="dxa"/>
              <w:bottom w:w="60" w:type="dxa"/>
              <w:right w:w="90" w:type="dxa"/>
            </w:tcMar>
          </w:tcPr>
          <w:p w14:paraId="69D71A1F" w14:textId="77777777" w:rsidR="00E41399" w:rsidRDefault="00000000">
            <w:r>
              <w:rPr>
                <w:rFonts w:ascii="Calibri" w:eastAsia="Calibri" w:hAnsi="Calibri" w:cs="Calibri"/>
                <w:sz w:val="19"/>
                <w:szCs w:val="19"/>
              </w:rPr>
              <w:t>Backup &amp; Restore (cold)</w:t>
            </w:r>
          </w:p>
        </w:tc>
        <w:tc>
          <w:tcPr>
            <w:tcW w:w="2200" w:type="dxa"/>
            <w:shd w:val="clear" w:color="auto" w:fill="F2F6FA"/>
            <w:tcMar>
              <w:top w:w="60" w:type="dxa"/>
              <w:left w:w="90" w:type="dxa"/>
              <w:bottom w:w="60" w:type="dxa"/>
              <w:right w:w="90" w:type="dxa"/>
            </w:tcMar>
          </w:tcPr>
          <w:p w14:paraId="7C120D1F" w14:textId="77777777" w:rsidR="00E41399" w:rsidRDefault="00000000">
            <w:r>
              <w:rPr>
                <w:rFonts w:ascii="Calibri" w:eastAsia="Calibri" w:hAnsi="Calibri" w:cs="Calibri"/>
                <w:sz w:val="19"/>
                <w:szCs w:val="19"/>
              </w:rPr>
              <w:t>Hours</w:t>
            </w:r>
          </w:p>
        </w:tc>
        <w:tc>
          <w:tcPr>
            <w:tcW w:w="2400" w:type="dxa"/>
            <w:shd w:val="clear" w:color="auto" w:fill="F2F6FA"/>
            <w:tcMar>
              <w:top w:w="60" w:type="dxa"/>
              <w:left w:w="90" w:type="dxa"/>
              <w:bottom w:w="60" w:type="dxa"/>
              <w:right w:w="90" w:type="dxa"/>
            </w:tcMar>
          </w:tcPr>
          <w:p w14:paraId="5B8E53BF" w14:textId="77777777" w:rsidR="00E41399" w:rsidRDefault="00000000">
            <w:r>
              <w:rPr>
                <w:rFonts w:ascii="Calibri" w:eastAsia="Calibri" w:hAnsi="Calibri" w:cs="Calibri"/>
                <w:sz w:val="19"/>
                <w:szCs w:val="19"/>
              </w:rPr>
              <w:t>Hours to days</w:t>
            </w:r>
          </w:p>
        </w:tc>
        <w:tc>
          <w:tcPr>
            <w:tcW w:w="1800" w:type="dxa"/>
            <w:shd w:val="clear" w:color="auto" w:fill="F2F6FA"/>
            <w:tcMar>
              <w:top w:w="60" w:type="dxa"/>
              <w:left w:w="90" w:type="dxa"/>
              <w:bottom w:w="60" w:type="dxa"/>
              <w:right w:w="90" w:type="dxa"/>
            </w:tcMar>
          </w:tcPr>
          <w:p w14:paraId="7E2FBF64" w14:textId="77777777" w:rsidR="00E41399" w:rsidRDefault="00000000">
            <w:r>
              <w:rPr>
                <w:rFonts w:ascii="Calibri" w:eastAsia="Calibri" w:hAnsi="Calibri" w:cs="Calibri"/>
                <w:sz w:val="19"/>
                <w:szCs w:val="19"/>
              </w:rPr>
              <w:t>Lowest</w:t>
            </w:r>
          </w:p>
        </w:tc>
      </w:tr>
      <w:tr w:rsidR="00E41399" w14:paraId="125190B0"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72363F13" w14:textId="77777777" w:rsidR="00E41399" w:rsidRDefault="00000000">
            <w:r>
              <w:rPr>
                <w:rFonts w:ascii="Calibri" w:eastAsia="Calibri" w:hAnsi="Calibri" w:cs="Calibri"/>
                <w:sz w:val="19"/>
                <w:szCs w:val="19"/>
              </w:rPr>
              <w:t>Pilot Light (core services warm)</w:t>
            </w:r>
          </w:p>
        </w:tc>
        <w:tc>
          <w:tcPr>
            <w:tcW w:w="2200" w:type="dxa"/>
            <w:shd w:val="clear" w:color="auto" w:fill="FFFFFF"/>
            <w:tcMar>
              <w:top w:w="60" w:type="dxa"/>
              <w:left w:w="90" w:type="dxa"/>
              <w:bottom w:w="60" w:type="dxa"/>
              <w:right w:w="90" w:type="dxa"/>
            </w:tcMar>
          </w:tcPr>
          <w:p w14:paraId="261EC0D4" w14:textId="77777777" w:rsidR="00E41399" w:rsidRDefault="00000000">
            <w:r>
              <w:rPr>
                <w:rFonts w:ascii="Calibri" w:eastAsia="Calibri" w:hAnsi="Calibri" w:cs="Calibri"/>
                <w:sz w:val="19"/>
                <w:szCs w:val="19"/>
              </w:rPr>
              <w:t>Minutes</w:t>
            </w:r>
          </w:p>
        </w:tc>
        <w:tc>
          <w:tcPr>
            <w:tcW w:w="2400" w:type="dxa"/>
            <w:shd w:val="clear" w:color="auto" w:fill="FFFFFF"/>
            <w:tcMar>
              <w:top w:w="60" w:type="dxa"/>
              <w:left w:w="90" w:type="dxa"/>
              <w:bottom w:w="60" w:type="dxa"/>
              <w:right w:w="90" w:type="dxa"/>
            </w:tcMar>
          </w:tcPr>
          <w:p w14:paraId="04D8417D" w14:textId="77777777" w:rsidR="00E41399" w:rsidRDefault="00000000">
            <w:r>
              <w:rPr>
                <w:rFonts w:ascii="Calibri" w:eastAsia="Calibri" w:hAnsi="Calibri" w:cs="Calibri"/>
                <w:sz w:val="19"/>
                <w:szCs w:val="19"/>
              </w:rPr>
              <w:t>Tens of minutes</w:t>
            </w:r>
          </w:p>
        </w:tc>
        <w:tc>
          <w:tcPr>
            <w:tcW w:w="1800" w:type="dxa"/>
            <w:shd w:val="clear" w:color="auto" w:fill="FFFFFF"/>
            <w:tcMar>
              <w:top w:w="60" w:type="dxa"/>
              <w:left w:w="90" w:type="dxa"/>
              <w:bottom w:w="60" w:type="dxa"/>
              <w:right w:w="90" w:type="dxa"/>
            </w:tcMar>
          </w:tcPr>
          <w:p w14:paraId="7754FBEC" w14:textId="77777777" w:rsidR="00E41399" w:rsidRDefault="00000000">
            <w:r>
              <w:rPr>
                <w:rFonts w:ascii="Calibri" w:eastAsia="Calibri" w:hAnsi="Calibri" w:cs="Calibri"/>
                <w:sz w:val="19"/>
                <w:szCs w:val="19"/>
              </w:rPr>
              <w:t>Low-Medium</w:t>
            </w:r>
          </w:p>
        </w:tc>
      </w:tr>
      <w:tr w:rsidR="00E41399" w14:paraId="1C1597E3" w14:textId="77777777">
        <w:tblPrEx>
          <w:tblCellMar>
            <w:top w:w="0" w:type="dxa"/>
            <w:bottom w:w="0" w:type="dxa"/>
          </w:tblCellMar>
        </w:tblPrEx>
        <w:tc>
          <w:tcPr>
            <w:tcW w:w="3000" w:type="dxa"/>
            <w:shd w:val="clear" w:color="auto" w:fill="F2F6FA"/>
            <w:tcMar>
              <w:top w:w="60" w:type="dxa"/>
              <w:left w:w="90" w:type="dxa"/>
              <w:bottom w:w="60" w:type="dxa"/>
              <w:right w:w="90" w:type="dxa"/>
            </w:tcMar>
          </w:tcPr>
          <w:p w14:paraId="5E285E77" w14:textId="77777777" w:rsidR="00E41399" w:rsidRDefault="00000000">
            <w:r>
              <w:rPr>
                <w:rFonts w:ascii="Calibri" w:eastAsia="Calibri" w:hAnsi="Calibri" w:cs="Calibri"/>
                <w:sz w:val="19"/>
                <w:szCs w:val="19"/>
              </w:rPr>
              <w:t>Warm Standby (scaled-down replica running)</w:t>
            </w:r>
          </w:p>
        </w:tc>
        <w:tc>
          <w:tcPr>
            <w:tcW w:w="2200" w:type="dxa"/>
            <w:shd w:val="clear" w:color="auto" w:fill="F2F6FA"/>
            <w:tcMar>
              <w:top w:w="60" w:type="dxa"/>
              <w:left w:w="90" w:type="dxa"/>
              <w:bottom w:w="60" w:type="dxa"/>
              <w:right w:w="90" w:type="dxa"/>
            </w:tcMar>
          </w:tcPr>
          <w:p w14:paraId="4DBCF3B7" w14:textId="77777777" w:rsidR="00E41399" w:rsidRDefault="00000000">
            <w:r>
              <w:rPr>
                <w:rFonts w:ascii="Calibri" w:eastAsia="Calibri" w:hAnsi="Calibri" w:cs="Calibri"/>
                <w:sz w:val="19"/>
                <w:szCs w:val="19"/>
              </w:rPr>
              <w:t>Seconds to minutes</w:t>
            </w:r>
          </w:p>
        </w:tc>
        <w:tc>
          <w:tcPr>
            <w:tcW w:w="2400" w:type="dxa"/>
            <w:shd w:val="clear" w:color="auto" w:fill="F2F6FA"/>
            <w:tcMar>
              <w:top w:w="60" w:type="dxa"/>
              <w:left w:w="90" w:type="dxa"/>
              <w:bottom w:w="60" w:type="dxa"/>
              <w:right w:w="90" w:type="dxa"/>
            </w:tcMar>
          </w:tcPr>
          <w:p w14:paraId="64DE9051" w14:textId="77777777" w:rsidR="00E41399" w:rsidRDefault="00000000">
            <w:r>
              <w:rPr>
                <w:rFonts w:ascii="Calibri" w:eastAsia="Calibri" w:hAnsi="Calibri" w:cs="Calibri"/>
                <w:sz w:val="19"/>
                <w:szCs w:val="19"/>
              </w:rPr>
              <w:t>Minutes</w:t>
            </w:r>
          </w:p>
        </w:tc>
        <w:tc>
          <w:tcPr>
            <w:tcW w:w="1800" w:type="dxa"/>
            <w:shd w:val="clear" w:color="auto" w:fill="F2F6FA"/>
            <w:tcMar>
              <w:top w:w="60" w:type="dxa"/>
              <w:left w:w="90" w:type="dxa"/>
              <w:bottom w:w="60" w:type="dxa"/>
              <w:right w:w="90" w:type="dxa"/>
            </w:tcMar>
          </w:tcPr>
          <w:p w14:paraId="49534F4A" w14:textId="77777777" w:rsidR="00E41399" w:rsidRDefault="00000000">
            <w:r>
              <w:rPr>
                <w:rFonts w:ascii="Calibri" w:eastAsia="Calibri" w:hAnsi="Calibri" w:cs="Calibri"/>
                <w:sz w:val="19"/>
                <w:szCs w:val="19"/>
              </w:rPr>
              <w:t>Medium-High</w:t>
            </w:r>
          </w:p>
        </w:tc>
      </w:tr>
      <w:tr w:rsidR="00E41399" w14:paraId="5341180E"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03709651" w14:textId="77777777" w:rsidR="00E41399" w:rsidRDefault="00000000">
            <w:r>
              <w:rPr>
                <w:rFonts w:ascii="Calibri" w:eastAsia="Calibri" w:hAnsi="Calibri" w:cs="Calibri"/>
                <w:sz w:val="19"/>
                <w:szCs w:val="19"/>
              </w:rPr>
              <w:lastRenderedPageBreak/>
              <w:t>Multi-Site Active-Active</w:t>
            </w:r>
          </w:p>
        </w:tc>
        <w:tc>
          <w:tcPr>
            <w:tcW w:w="2200" w:type="dxa"/>
            <w:shd w:val="clear" w:color="auto" w:fill="FFFFFF"/>
            <w:tcMar>
              <w:top w:w="60" w:type="dxa"/>
              <w:left w:w="90" w:type="dxa"/>
              <w:bottom w:w="60" w:type="dxa"/>
              <w:right w:w="90" w:type="dxa"/>
            </w:tcMar>
          </w:tcPr>
          <w:p w14:paraId="11435368" w14:textId="77777777" w:rsidR="00E41399" w:rsidRDefault="00000000">
            <w:r>
              <w:rPr>
                <w:rFonts w:ascii="Calibri" w:eastAsia="Calibri" w:hAnsi="Calibri" w:cs="Calibri"/>
                <w:sz w:val="19"/>
                <w:szCs w:val="19"/>
              </w:rPr>
              <w:t>Near zero</w:t>
            </w:r>
          </w:p>
        </w:tc>
        <w:tc>
          <w:tcPr>
            <w:tcW w:w="2400" w:type="dxa"/>
            <w:shd w:val="clear" w:color="auto" w:fill="FFFFFF"/>
            <w:tcMar>
              <w:top w:w="60" w:type="dxa"/>
              <w:left w:w="90" w:type="dxa"/>
              <w:bottom w:w="60" w:type="dxa"/>
              <w:right w:w="90" w:type="dxa"/>
            </w:tcMar>
          </w:tcPr>
          <w:p w14:paraId="5EE3762D" w14:textId="77777777" w:rsidR="00E41399" w:rsidRDefault="00000000">
            <w:r>
              <w:rPr>
                <w:rFonts w:ascii="Calibri" w:eastAsia="Calibri" w:hAnsi="Calibri" w:cs="Calibri"/>
                <w:sz w:val="19"/>
                <w:szCs w:val="19"/>
              </w:rPr>
              <w:t>Near zero (automatic failover)</w:t>
            </w:r>
          </w:p>
        </w:tc>
        <w:tc>
          <w:tcPr>
            <w:tcW w:w="1800" w:type="dxa"/>
            <w:shd w:val="clear" w:color="auto" w:fill="FFFFFF"/>
            <w:tcMar>
              <w:top w:w="60" w:type="dxa"/>
              <w:left w:w="90" w:type="dxa"/>
              <w:bottom w:w="60" w:type="dxa"/>
              <w:right w:w="90" w:type="dxa"/>
            </w:tcMar>
          </w:tcPr>
          <w:p w14:paraId="57397B6E" w14:textId="77777777" w:rsidR="00E41399" w:rsidRDefault="00000000">
            <w:r>
              <w:rPr>
                <w:rFonts w:ascii="Calibri" w:eastAsia="Calibri" w:hAnsi="Calibri" w:cs="Calibri"/>
                <w:sz w:val="19"/>
                <w:szCs w:val="19"/>
              </w:rPr>
              <w:t>Highest</w:t>
            </w:r>
          </w:p>
        </w:tc>
      </w:tr>
    </w:tbl>
    <w:p w14:paraId="0344BCE9" w14:textId="77777777" w:rsidR="00E41399" w:rsidRDefault="00000000">
      <w:pPr>
        <w:spacing w:after="110" w:line="285" w:lineRule="auto"/>
        <w:jc w:val="both"/>
      </w:pPr>
      <w:r>
        <w:rPr>
          <w:rFonts w:ascii="Calibri" w:eastAsia="Calibri" w:hAnsi="Calibri" w:cs="Calibri"/>
          <w:sz w:val="21"/>
          <w:szCs w:val="21"/>
        </w:rPr>
        <w:t>The e-learning platform should select the tier appropriate to each data class — for example, a warm-standby or pilot-light approach for the core course-content database (moderate cost, strong protection), and simple scheduled backups for less-critical logging/analytics data.</w:t>
      </w:r>
    </w:p>
    <w:p w14:paraId="7F0FF8BA"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4. Steps to Ensure Business Continuity</w:t>
      </w:r>
    </w:p>
    <w:p w14:paraId="22C5FFB8"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1.</w:t>
      </w:r>
      <w:r>
        <w:rPr>
          <w:rFonts w:ascii="Calibri" w:eastAsia="Calibri" w:hAnsi="Calibri" w:cs="Calibri"/>
          <w:sz w:val="21"/>
          <w:szCs w:val="21"/>
        </w:rPr>
        <w:t xml:space="preserve"> Classify data and applications by criticality to assign appropriate RPO/RTO targets and backup tiers rather than a one-size-fits-all policy.</w:t>
      </w:r>
    </w:p>
    <w:p w14:paraId="20F001E6"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2.</w:t>
      </w:r>
      <w:r>
        <w:rPr>
          <w:rFonts w:ascii="Calibri" w:eastAsia="Calibri" w:hAnsi="Calibri" w:cs="Calibri"/>
          <w:sz w:val="21"/>
          <w:szCs w:val="21"/>
        </w:rPr>
        <w:t xml:space="preserve"> Enable versioning, MFA-delete/retention locks, and automated scheduled backups with cross-region replication as described above.</w:t>
      </w:r>
    </w:p>
    <w:p w14:paraId="3285960B"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3.</w:t>
      </w:r>
      <w:r>
        <w:rPr>
          <w:rFonts w:ascii="Calibri" w:eastAsia="Calibri" w:hAnsi="Calibri" w:cs="Calibri"/>
          <w:sz w:val="21"/>
          <w:szCs w:val="21"/>
        </w:rPr>
        <w:t xml:space="preserve"> Regularly test restoring from backup and executing full failover to the DR region — an untested backup is not a reliable one.</w:t>
      </w:r>
    </w:p>
    <w:p w14:paraId="49D9F465"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4.</w:t>
      </w:r>
      <w:r>
        <w:rPr>
          <w:rFonts w:ascii="Calibri" w:eastAsia="Calibri" w:hAnsi="Calibri" w:cs="Calibri"/>
          <w:sz w:val="21"/>
          <w:szCs w:val="21"/>
        </w:rPr>
        <w:t xml:space="preserve"> Prepare and rehearse a documented incident response and failover runbook so staff can act quickly without improvising during an actual outage.</w:t>
      </w:r>
    </w:p>
    <w:p w14:paraId="49819CB5"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5.</w:t>
      </w:r>
      <w:r>
        <w:rPr>
          <w:rFonts w:ascii="Calibri" w:eastAsia="Calibri" w:hAnsi="Calibri" w:cs="Calibri"/>
          <w:sz w:val="21"/>
          <w:szCs w:val="21"/>
        </w:rPr>
        <w:t xml:space="preserve"> Configure monitoring/alerting on backup job success/failure and on replication lag, so gaps in protection are caught before they matter.</w:t>
      </w:r>
    </w:p>
    <w:p w14:paraId="0C65B9AD"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5. Conclusion</w:t>
      </w:r>
    </w:p>
    <w:p w14:paraId="3590E73B" w14:textId="77777777" w:rsidR="00E41399" w:rsidRDefault="00000000">
      <w:pPr>
        <w:spacing w:after="110" w:line="285" w:lineRule="auto"/>
        <w:jc w:val="both"/>
      </w:pPr>
      <w:r>
        <w:rPr>
          <w:rFonts w:ascii="Calibri" w:eastAsia="Calibri" w:hAnsi="Calibri" w:cs="Calibri"/>
          <w:sz w:val="21"/>
          <w:szCs w:val="21"/>
        </w:rPr>
        <w:t>Versioning directly solves the accidental-deletion problem, scheduled backups with retention policies protect against broader data corruption, and cross-region replication protects against regional failure. Selecting a DR tier appropriate to each workload's criticality — and rigorously testing recovery — allows the e-learning platform to meet defined RPO/RTO targets and maintain business continuity through both accidental deletion incidents and larger-scale outages.</w:t>
      </w:r>
    </w:p>
    <w:p w14:paraId="1303A3EB" w14:textId="77777777" w:rsidR="00E41399" w:rsidRDefault="00000000">
      <w:r>
        <w:br w:type="page"/>
      </w:r>
    </w:p>
    <w:p w14:paraId="0DB42DEA" w14:textId="77777777" w:rsidR="00E41399" w:rsidRDefault="00000000">
      <w:pPr>
        <w:shd w:val="clear" w:color="auto" w:fill="DCE6F1"/>
        <w:spacing w:before="80" w:after="180"/>
      </w:pPr>
      <w:r>
        <w:rPr>
          <w:rFonts w:ascii="Calibri" w:eastAsia="Calibri" w:hAnsi="Calibri" w:cs="Calibri"/>
          <w:b/>
          <w:bCs/>
          <w:color w:val="1F4E79"/>
          <w:sz w:val="25"/>
          <w:szCs w:val="25"/>
        </w:rPr>
        <w:lastRenderedPageBreak/>
        <w:t xml:space="preserve">Question 4: </w:t>
      </w:r>
      <w:r>
        <w:rPr>
          <w:rFonts w:ascii="Calibri" w:eastAsia="Calibri" w:hAnsi="Calibri" w:cs="Calibri"/>
          <w:b/>
          <w:bCs/>
          <w:sz w:val="25"/>
          <w:szCs w:val="25"/>
        </w:rPr>
        <w:t>A government agency is adopting a hybrid cloud model for sensitive and non-sensitive data, with some applications required to remain on-premises. Design a hybrid architecture ensuring secure communication, explain identity management and encryption, and discuss challenges in managing hybrid environments.</w:t>
      </w:r>
    </w:p>
    <w:p w14:paraId="54521EAE"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1. Requirement</w:t>
      </w:r>
    </w:p>
    <w:p w14:paraId="6D6FEDA6" w14:textId="77777777" w:rsidR="00E41399" w:rsidRDefault="00000000">
      <w:pPr>
        <w:spacing w:after="110" w:line="285" w:lineRule="auto"/>
        <w:jc w:val="both"/>
      </w:pPr>
      <w:r>
        <w:rPr>
          <w:rFonts w:ascii="Calibri" w:eastAsia="Calibri" w:hAnsi="Calibri" w:cs="Calibri"/>
          <w:sz w:val="21"/>
          <w:szCs w:val="21"/>
        </w:rPr>
        <w:t>The agency must run some workloads on public cloud (for scalability and cost efficiency on non-sensitive/citizen-facing applications) while keeping regulated, sensitive data and applications on-premises, with secure, reliable connectivity between the two environments — a hybrid cloud architecture.</w:t>
      </w:r>
    </w:p>
    <w:p w14:paraId="79FCDD7B"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2. Hybrid Architecture Design</w:t>
      </w:r>
    </w:p>
    <w:p w14:paraId="74C9B257" w14:textId="77777777" w:rsidR="00E41399" w:rsidRDefault="00000000">
      <w:pPr>
        <w:pStyle w:val="Heading2"/>
        <w:spacing w:before="180" w:after="90"/>
      </w:pPr>
      <w:r>
        <w:rPr>
          <w:rFonts w:ascii="Calibri" w:eastAsia="Calibri" w:hAnsi="Calibri" w:cs="Calibri"/>
          <w:b/>
          <w:bCs/>
          <w:color w:val="1F4E79"/>
          <w:sz w:val="23"/>
          <w:szCs w:val="23"/>
        </w:rPr>
        <w:t>2.1 Workload Placement</w:t>
      </w:r>
    </w:p>
    <w:p w14:paraId="78CB9AC7" w14:textId="77777777" w:rsidR="00E41399" w:rsidRDefault="00000000">
      <w:pPr>
        <w:spacing w:after="110" w:line="285" w:lineRule="auto"/>
        <w:jc w:val="both"/>
      </w:pPr>
      <w:r>
        <w:rPr>
          <w:rFonts w:ascii="Calibri" w:eastAsia="Calibri" w:hAnsi="Calibri" w:cs="Calibri"/>
          <w:sz w:val="21"/>
          <w:szCs w:val="21"/>
        </w:rPr>
        <w:t>Non-sensitive, public-facing applications (citizen information portals, public service request forms) are deployed in the public cloud to take advantage of elastic scaling and lower operational overhead. Sensitive workloads (citizen personal records, classified or regulated data) remain on-premises in the agency's own data center, satisfying compliance requirements that mandate data residency and direct control.</w:t>
      </w:r>
    </w:p>
    <w:p w14:paraId="35FDC924" w14:textId="77777777" w:rsidR="00E41399" w:rsidRDefault="00000000">
      <w:pPr>
        <w:pStyle w:val="Heading2"/>
        <w:spacing w:before="180" w:after="90"/>
      </w:pPr>
      <w:r>
        <w:rPr>
          <w:rFonts w:ascii="Calibri" w:eastAsia="Calibri" w:hAnsi="Calibri" w:cs="Calibri"/>
          <w:b/>
          <w:bCs/>
          <w:color w:val="1F4E79"/>
          <w:sz w:val="23"/>
          <w:szCs w:val="23"/>
        </w:rPr>
        <w:t>2.2 Secure Connectivity</w:t>
      </w:r>
    </w:p>
    <w:p w14:paraId="641A45DD" w14:textId="77777777" w:rsidR="00E41399" w:rsidRDefault="00000000">
      <w:pPr>
        <w:spacing w:after="110" w:line="285" w:lineRule="auto"/>
        <w:jc w:val="both"/>
      </w:pPr>
      <w:r>
        <w:rPr>
          <w:rFonts w:ascii="Calibri" w:eastAsia="Calibri" w:hAnsi="Calibri" w:cs="Calibri"/>
          <w:sz w:val="21"/>
          <w:szCs w:val="21"/>
        </w:rPr>
        <w:t>A dedicated private connection — AWS Direct Connect, Azure ExpressRoute, or an IPsec VPN as a lower-cost alternative — links the on-premises data center to the cloud environment, avoiding exposure of inter-environment traffic to the public internet. Network segmentation (VPCs/VNets with private subnets, firewalls, and network security groups) further restricts which systems on each side may communicate, following a zero-trust, least-privilege network design rather than broad open connectivity.</w:t>
      </w:r>
    </w:p>
    <w:p w14:paraId="5EF71CAE" w14:textId="77777777" w:rsidR="00E41399" w:rsidRDefault="00000000">
      <w:pPr>
        <w:pStyle w:val="Heading2"/>
        <w:spacing w:before="180" w:after="90"/>
      </w:pPr>
      <w:r>
        <w:rPr>
          <w:rFonts w:ascii="Calibri" w:eastAsia="Calibri" w:hAnsi="Calibri" w:cs="Calibri"/>
          <w:b/>
          <w:bCs/>
          <w:color w:val="1F4E79"/>
          <w:sz w:val="23"/>
          <w:szCs w:val="23"/>
        </w:rPr>
        <w:t>2.3 Data and API Gateway Layer</w:t>
      </w:r>
    </w:p>
    <w:p w14:paraId="4914208B" w14:textId="77777777" w:rsidR="00E41399" w:rsidRDefault="00000000">
      <w:pPr>
        <w:spacing w:after="110" w:line="285" w:lineRule="auto"/>
        <w:jc w:val="both"/>
      </w:pPr>
      <w:r>
        <w:rPr>
          <w:rFonts w:ascii="Calibri" w:eastAsia="Calibri" w:hAnsi="Calibri" w:cs="Calibri"/>
          <w:sz w:val="21"/>
          <w:szCs w:val="21"/>
        </w:rPr>
        <w:t>An API gateway mediates any requests from cloud-hosted applications that need to query on-premises sensitive systems, enforcing authentication, rate limiting, and data-minimization (returning only the fields the cloud application is authorized to see) rather than exposing the on-premises database directly.</w:t>
      </w:r>
    </w:p>
    <w:p w14:paraId="24314C77"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3. Identity Management and Encryption</w:t>
      </w:r>
    </w:p>
    <w:p w14:paraId="124F2E26" w14:textId="77777777" w:rsidR="00E41399" w:rsidRDefault="00000000">
      <w:pPr>
        <w:pStyle w:val="Heading2"/>
        <w:spacing w:before="180" w:after="90"/>
      </w:pPr>
      <w:r>
        <w:rPr>
          <w:rFonts w:ascii="Calibri" w:eastAsia="Calibri" w:hAnsi="Calibri" w:cs="Calibri"/>
          <w:b/>
          <w:bCs/>
          <w:color w:val="1F4E79"/>
          <w:sz w:val="23"/>
          <w:szCs w:val="23"/>
        </w:rPr>
        <w:t>3.1 Identity Management</w:t>
      </w:r>
    </w:p>
    <w:p w14:paraId="02AA3522" w14:textId="77777777" w:rsidR="00E41399" w:rsidRDefault="00000000">
      <w:pPr>
        <w:spacing w:after="110" w:line="285" w:lineRule="auto"/>
        <w:jc w:val="both"/>
      </w:pPr>
      <w:r>
        <w:rPr>
          <w:rFonts w:ascii="Calibri" w:eastAsia="Calibri" w:hAnsi="Calibri" w:cs="Calibri"/>
          <w:sz w:val="21"/>
          <w:szCs w:val="21"/>
        </w:rPr>
        <w:t>A federated identity approach — extending the agency's on-premises Active Directory to the cloud via Azure AD Connect/AWS IAM Identity Center federation — provides a single, consistent identity source across both environments, avoiding duplicate account management and the security risk of inconsistent access policies. Role-based access control (RBAC) and mandatory multi-factor authentication are enforced uniformly regardless of which environment a resource lives in, and privileged access to sensitive on-premises systems should require additional step-up authentication.</w:t>
      </w:r>
    </w:p>
    <w:p w14:paraId="56C51E36" w14:textId="77777777" w:rsidR="00E41399" w:rsidRDefault="00000000">
      <w:pPr>
        <w:pStyle w:val="Heading2"/>
        <w:spacing w:before="180" w:after="90"/>
      </w:pPr>
      <w:r>
        <w:rPr>
          <w:rFonts w:ascii="Calibri" w:eastAsia="Calibri" w:hAnsi="Calibri" w:cs="Calibri"/>
          <w:b/>
          <w:bCs/>
          <w:color w:val="1F4E79"/>
          <w:sz w:val="23"/>
          <w:szCs w:val="23"/>
        </w:rPr>
        <w:t>3.2 Encryption</w:t>
      </w:r>
    </w:p>
    <w:p w14:paraId="6324D4AF" w14:textId="77777777" w:rsidR="00E41399" w:rsidRDefault="00000000">
      <w:pPr>
        <w:spacing w:after="110" w:line="285" w:lineRule="auto"/>
        <w:jc w:val="both"/>
      </w:pPr>
      <w:r>
        <w:rPr>
          <w:rFonts w:ascii="Calibri" w:eastAsia="Calibri" w:hAnsi="Calibri" w:cs="Calibri"/>
          <w:sz w:val="21"/>
          <w:szCs w:val="21"/>
        </w:rPr>
        <w:t xml:space="preserve">All data in transit between on-premises and cloud is encrypted (TLS over the private link/VPN), and data at rest in both environments is encrypted (cloud storage encryption with customer-managed keys; on-premises disk/database encryption). For the most sensitive data, the agency may retain encryption keys entirely on-premises in its own HSM, </w:t>
      </w:r>
      <w:r>
        <w:rPr>
          <w:rFonts w:ascii="Calibri" w:eastAsia="Calibri" w:hAnsi="Calibri" w:cs="Calibri"/>
          <w:sz w:val="21"/>
          <w:szCs w:val="21"/>
        </w:rPr>
        <w:lastRenderedPageBreak/>
        <w:t>so that even cloud-stored encrypted data cannot be decrypted without an on-premises key request — an additional sovereignty and control safeguard.</w:t>
      </w:r>
    </w:p>
    <w:p w14:paraId="170030F7"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4. Challenges in Managing Hybrid Cloud Environments</w:t>
      </w:r>
    </w:p>
    <w:p w14:paraId="7D634313"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Operational complexity:</w:t>
      </w:r>
      <w:r>
        <w:rPr>
          <w:rFonts w:ascii="Calibri" w:eastAsia="Calibri" w:hAnsi="Calibri" w:cs="Calibri"/>
          <w:sz w:val="21"/>
          <w:szCs w:val="21"/>
        </w:rPr>
        <w:t xml:space="preserve"> Maintaining uniform security posture, patching, and monitoring across two fundamentally different infrastructure stacks increases operational burden.</w:t>
      </w:r>
    </w:p>
    <w:p w14:paraId="64113DD1"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Network reliability and latency:</w:t>
      </w:r>
      <w:r>
        <w:rPr>
          <w:rFonts w:ascii="Calibri" w:eastAsia="Calibri" w:hAnsi="Calibri" w:cs="Calibri"/>
          <w:sz w:val="21"/>
          <w:szCs w:val="21"/>
        </w:rPr>
        <w:t xml:space="preserve"> Ensuring the on-premises/cloud link remains available and low-latency; a network outage can strand cloud applications that depend on on-premises data.</w:t>
      </w:r>
    </w:p>
    <w:p w14:paraId="047D55F8"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Consistency of policy enforcement:</w:t>
      </w:r>
      <w:r>
        <w:rPr>
          <w:rFonts w:ascii="Calibri" w:eastAsia="Calibri" w:hAnsi="Calibri" w:cs="Calibri"/>
          <w:sz w:val="21"/>
          <w:szCs w:val="21"/>
        </w:rPr>
        <w:t xml:space="preserve"> Keeping identity, security policy, and data classification consistent across environments requires careful ongoing governance, not a one-time setup.</w:t>
      </w:r>
    </w:p>
    <w:p w14:paraId="5757B2CE"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Expanded attack surface:</w:t>
      </w:r>
      <w:r>
        <w:rPr>
          <w:rFonts w:ascii="Calibri" w:eastAsia="Calibri" w:hAnsi="Calibri" w:cs="Calibri"/>
          <w:sz w:val="21"/>
          <w:szCs w:val="21"/>
        </w:rPr>
        <w:t xml:space="preserve"> Hybrid environments expand the attack surface (the connectivity layer itself, plus two environments' worth of misconfiguration risk) compared to a single environment.</w:t>
      </w:r>
    </w:p>
    <w:p w14:paraId="5A736D04"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Monitoring and observability gaps:</w:t>
      </w:r>
      <w:r>
        <w:rPr>
          <w:rFonts w:ascii="Calibri" w:eastAsia="Calibri" w:hAnsi="Calibri" w:cs="Calibri"/>
          <w:sz w:val="21"/>
          <w:szCs w:val="21"/>
        </w:rPr>
        <w:t xml:space="preserve"> Achieving full visibility into performance, security events, and costs requires integrating monitoring tools across both environments, which are often not natively unified.</w:t>
      </w:r>
    </w:p>
    <w:p w14:paraId="192A06AD"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5. Conclusion</w:t>
      </w:r>
    </w:p>
    <w:p w14:paraId="7C4ED49D" w14:textId="77777777" w:rsidR="00E41399" w:rsidRDefault="00000000">
      <w:pPr>
        <w:spacing w:after="110" w:line="285" w:lineRule="auto"/>
        <w:jc w:val="both"/>
      </w:pPr>
      <w:r>
        <w:rPr>
          <w:rFonts w:ascii="Calibri" w:eastAsia="Calibri" w:hAnsi="Calibri" w:cs="Calibri"/>
          <w:sz w:val="21"/>
          <w:szCs w:val="21"/>
        </w:rPr>
        <w:t>A well-designed hybrid architecture places workloads according to sensitivity, connects environments through private, encrypted links with strict network segmentation, and unifies identity management via federation so access policy is consistent everywhere. The principal ongoing challenge is not the initial design but sustained operational discipline — keeping security posture, monitoring, and governance uniformly enforced across two structurally different environments over time.</w:t>
      </w:r>
    </w:p>
    <w:p w14:paraId="773F8CF5" w14:textId="77777777" w:rsidR="00E41399" w:rsidRDefault="00000000">
      <w:r>
        <w:br w:type="page"/>
      </w:r>
    </w:p>
    <w:p w14:paraId="5C0F9202" w14:textId="77777777" w:rsidR="00E41399" w:rsidRDefault="00000000">
      <w:pPr>
        <w:shd w:val="clear" w:color="auto" w:fill="DCE6F1"/>
        <w:spacing w:before="80" w:after="180"/>
      </w:pPr>
      <w:r>
        <w:rPr>
          <w:rFonts w:ascii="Calibri" w:eastAsia="Calibri" w:hAnsi="Calibri" w:cs="Calibri"/>
          <w:b/>
          <w:bCs/>
          <w:color w:val="1F4E79"/>
          <w:sz w:val="25"/>
          <w:szCs w:val="25"/>
        </w:rPr>
        <w:lastRenderedPageBreak/>
        <w:t xml:space="preserve">Question 5: </w:t>
      </w:r>
      <w:r>
        <w:rPr>
          <w:rFonts w:ascii="Calibri" w:eastAsia="Calibri" w:hAnsi="Calibri" w:cs="Calibri"/>
          <w:b/>
          <w:bCs/>
          <w:sz w:val="25"/>
          <w:szCs w:val="25"/>
        </w:rPr>
        <w:t>A SaaS provider needs high availability and fault tolerance so the system continues operating even if one region goes down. Propose a multi-region deployment strategy, explain data replication and failover mechanisms, and discuss monitoring and alerting for proactive issue detection.</w:t>
      </w:r>
    </w:p>
    <w:p w14:paraId="5C612C12"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1. Requirement</w:t>
      </w:r>
    </w:p>
    <w:p w14:paraId="16E4841C" w14:textId="77777777" w:rsidR="00E41399" w:rsidRDefault="00000000">
      <w:pPr>
        <w:spacing w:after="110" w:line="285" w:lineRule="auto"/>
        <w:jc w:val="both"/>
      </w:pPr>
      <w:r>
        <w:rPr>
          <w:rFonts w:ascii="Calibri" w:eastAsia="Calibri" w:hAnsi="Calibri" w:cs="Calibri"/>
          <w:sz w:val="21"/>
          <w:szCs w:val="21"/>
        </w:rPr>
        <w:t>The SaaS application must survive a full regional outage (a rare but real event — power failure, natural disaster, or major cloud provider incident) without extended downtime, requiring a multi-region deployment strategy with automated failover rather than a single-region design.</w:t>
      </w:r>
    </w:p>
    <w:p w14:paraId="57ACEA48"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2. Multi-Region Deployment Strategy</w:t>
      </w:r>
    </w:p>
    <w:p w14:paraId="1FA4AA45" w14:textId="77777777" w:rsidR="00E41399" w:rsidRDefault="00000000">
      <w:pPr>
        <w:spacing w:after="110" w:line="285" w:lineRule="auto"/>
        <w:jc w:val="both"/>
      </w:pPr>
      <w:r>
        <w:rPr>
          <w:rFonts w:ascii="Calibri" w:eastAsia="Calibri" w:hAnsi="Calibri" w:cs="Calibri"/>
          <w:sz w:val="21"/>
          <w:szCs w:val="21"/>
        </w:rPr>
        <w:t>The recommended approach is an active-active (or active-passive, depending on cost tolerance) multi-region deployment: the application is deployed identically in two or more geographic regions, each capable of independently serving traffic. In active-active, both regions serve live traffic simultaneously under normal conditions, giving both better latency for geographically distributed users and immediate capacity absorption if one region fails. In active-passive (a lower-cost variant), a standby region runs at reduced capacity and is scaled up automatically upon failover. For most SaaS providers balancing cost and resilience, a warm active-passive or a limited active-active model (active-active for the stateless application tier, single-writer-with-replica for the database) is a practical middle ground.</w:t>
      </w:r>
    </w:p>
    <w:p w14:paraId="0B24D1F1"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3. Data Replication</w:t>
      </w:r>
    </w:p>
    <w:p w14:paraId="1E96B8DC" w14:textId="77777777" w:rsidR="00E41399" w:rsidRDefault="00000000">
      <w:pPr>
        <w:spacing w:after="110" w:line="285" w:lineRule="auto"/>
        <w:jc w:val="both"/>
      </w:pPr>
      <w:r>
        <w:rPr>
          <w:rFonts w:ascii="Calibri" w:eastAsia="Calibri" w:hAnsi="Calibri" w:cs="Calibri"/>
          <w:sz w:val="21"/>
          <w:szCs w:val="21"/>
        </w:rPr>
        <w:t>The database layer uses cross-region replication appropriate to its consistency needs: managed multi-region database services (Amazon Aurora Global Database, Azure Cosmos DB, Google Cloud Spanner) provide built-in synchronous or near-synchronous replication with defined replication lag guarantees. For relational databases without native multi-region write support, a primary-replica model is used — writes go to a primary region, with asynchronous replication to a read replica in the secondary region, which is promoted to primary during failover (accepting a small, bounded amount of potential data loss corresponding to replication lag, i.e., a non-zero RPO). Object/file storage uses cross-region replication features native to the storage service, and caches are rebuilt or replicated per region rather than treated as a durability boundary.</w:t>
      </w:r>
    </w:p>
    <w:p w14:paraId="173E8D24"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4. Failover Mechanisms</w:t>
      </w:r>
    </w:p>
    <w:p w14:paraId="55B960EA"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Automated health-check-driven failover:</w:t>
      </w:r>
      <w:r>
        <w:rPr>
          <w:rFonts w:ascii="Calibri" w:eastAsia="Calibri" w:hAnsi="Calibri" w:cs="Calibri"/>
          <w:sz w:val="21"/>
          <w:szCs w:val="21"/>
        </w:rPr>
        <w:t xml:space="preserve"> DNS-based or global load-balancer health checks continuously probe each region; upon detecting a region-wide failure, traffic is automatically rerouted to the healthy region(s) within the health-check interval, without manual intervention.</w:t>
      </w:r>
    </w:p>
    <w:p w14:paraId="43C7CBBF"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Scaling on failover:</w:t>
      </w:r>
      <w:r>
        <w:rPr>
          <w:rFonts w:ascii="Calibri" w:eastAsia="Calibri" w:hAnsi="Calibri" w:cs="Calibri"/>
          <w:sz w:val="21"/>
          <w:szCs w:val="21"/>
        </w:rPr>
        <w:t xml:space="preserve"> For active-passive, the standby region's compute layer auto-scales up rapidly upon receiving failover traffic (or is kept 'warm' at reduced capacity to shorten this window); for active-active, capacity is already live.</w:t>
      </w:r>
    </w:p>
    <w:p w14:paraId="62E036F3"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t>Database promotion:</w:t>
      </w:r>
      <w:r>
        <w:rPr>
          <w:rFonts w:ascii="Calibri" w:eastAsia="Calibri" w:hAnsi="Calibri" w:cs="Calibri"/>
          <w:sz w:val="21"/>
          <w:szCs w:val="21"/>
        </w:rPr>
        <w:t xml:space="preserve"> If using a primary-replica database, an automated (or, for higher-risk databases, a human-confirmed automated) promotion process elevates the surviving region's replica to primary and repoints the application's connection strings/service discovery accordingly.</w:t>
      </w:r>
    </w:p>
    <w:p w14:paraId="4EA8FCF1" w14:textId="77777777" w:rsidR="00E41399" w:rsidRDefault="00000000">
      <w:pPr>
        <w:pStyle w:val="ListParagraph"/>
        <w:numPr>
          <w:ilvl w:val="0"/>
          <w:numId w:val="2"/>
        </w:numPr>
        <w:spacing w:after="80" w:line="275" w:lineRule="auto"/>
      </w:pPr>
      <w:r>
        <w:rPr>
          <w:rFonts w:ascii="Calibri" w:eastAsia="Calibri" w:hAnsi="Calibri" w:cs="Calibri"/>
          <w:b/>
          <w:bCs/>
          <w:sz w:val="21"/>
          <w:szCs w:val="21"/>
        </w:rPr>
        <w:lastRenderedPageBreak/>
        <w:t>Failover testing:</w:t>
      </w:r>
      <w:r>
        <w:rPr>
          <w:rFonts w:ascii="Calibri" w:eastAsia="Calibri" w:hAnsi="Calibri" w:cs="Calibri"/>
          <w:sz w:val="21"/>
          <w:szCs w:val="21"/>
        </w:rPr>
        <w:t xml:space="preserve"> Regular, scheduled failover drills (chaos-engineering-style regional failure simulations) validate that failover actually works as designed, rather than assuming untested runbooks will succeed during a real incident.</w:t>
      </w:r>
    </w:p>
    <w:p w14:paraId="43FC7C46"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5. Monitoring and Alerting for Proactive Detection</w:t>
      </w:r>
    </w:p>
    <w:p w14:paraId="48385149" w14:textId="77777777" w:rsidR="00E41399" w:rsidRDefault="00000000">
      <w:pPr>
        <w:spacing w:after="110" w:line="285" w:lineRule="auto"/>
        <w:jc w:val="both"/>
      </w:pPr>
      <w:r>
        <w:rPr>
          <w:rFonts w:ascii="Calibri" w:eastAsia="Calibri" w:hAnsi="Calibri" w:cs="Calibri"/>
          <w:sz w:val="21"/>
          <w:szCs w:val="21"/>
        </w:rPr>
        <w:t>Multi-layered monitoring is essential: infrastructure-level metrics (CPU, memory, network, disk) per region; application-level metrics (request latency, error rate, throughput) per region and per service; and synthetic monitoring (automated transactions run continuously from multiple geographic locations to detect regional degradation before real users are widely affected). Replication lag between regions is monitored explicitly, since excessive lag directly threatens the RPO guarantee. Alerting is tiered — warning-level alerts for early degradation (rising latency, growing replication lag) routed to the on-call team, and critical/paging alerts for confirmed regional failure, ideally correlated across multiple signals to avoid false-positive failovers. Dashboards aggregating cross-region health give operators a single view to confirm whether an issue is region-specific (triggering failover) or global (requiring a different response).</w:t>
      </w:r>
    </w:p>
    <w:p w14:paraId="33933EC7" w14:textId="77777777" w:rsidR="00E41399" w:rsidRDefault="00000000">
      <w:pPr>
        <w:pStyle w:val="Heading1"/>
        <w:pBdr>
          <w:bottom w:val="single" w:sz="6" w:space="4" w:color="1F4E79"/>
        </w:pBdr>
        <w:spacing w:before="260" w:after="130"/>
      </w:pPr>
      <w:r>
        <w:rPr>
          <w:rFonts w:ascii="Calibri" w:eastAsia="Calibri" w:hAnsi="Calibri" w:cs="Calibri"/>
          <w:b/>
          <w:bCs/>
          <w:color w:val="1F4E79"/>
          <w:sz w:val="28"/>
          <w:szCs w:val="28"/>
        </w:rPr>
        <w:t>6. Conclusion</w:t>
      </w:r>
    </w:p>
    <w:p w14:paraId="32DC294B" w14:textId="77777777" w:rsidR="00E41399" w:rsidRDefault="00000000">
      <w:pPr>
        <w:spacing w:after="110" w:line="285" w:lineRule="auto"/>
        <w:jc w:val="both"/>
      </w:pPr>
      <w:r>
        <w:rPr>
          <w:rFonts w:ascii="Calibri" w:eastAsia="Calibri" w:hAnsi="Calibri" w:cs="Calibri"/>
          <w:sz w:val="21"/>
          <w:szCs w:val="21"/>
        </w:rPr>
        <w:t>High availability against regional failure is achieved by deploying the application across at least two regions with automated, health-check-driven load-balancer failover, cross-region data replication sized to the acceptable RPO, and rehearsed failover procedures for database promotion. Continuous, multi-layered monitoring — including synthetic transactions and replication-lag tracking — provides the proactive detection needed to catch degradation before it becomes a full outage, and regularly tested failover drills ensure the mechanisms work when actually needed rather than only in theory.</w:t>
      </w:r>
    </w:p>
    <w:sectPr w:rsidR="00E4139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FFEB" w14:textId="77777777" w:rsidR="00A577B0" w:rsidRDefault="00A577B0">
      <w:r>
        <w:separator/>
      </w:r>
    </w:p>
  </w:endnote>
  <w:endnote w:type="continuationSeparator" w:id="0">
    <w:p w14:paraId="51721031" w14:textId="77777777" w:rsidR="00A577B0" w:rsidRDefault="00A57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2408" w14:textId="77777777" w:rsidR="00E41399"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377280">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2AD9" w14:textId="77777777" w:rsidR="00A577B0" w:rsidRDefault="00A577B0">
      <w:r>
        <w:separator/>
      </w:r>
    </w:p>
  </w:footnote>
  <w:footnote w:type="continuationSeparator" w:id="0">
    <w:p w14:paraId="6E698EC5" w14:textId="77777777" w:rsidR="00A577B0" w:rsidRDefault="00A57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A47A" w14:textId="77777777" w:rsidR="00E41399" w:rsidRDefault="00000000">
    <w:pPr>
      <w:pBdr>
        <w:bottom w:val="single" w:sz="4" w:space="2" w:color="AAAAAA"/>
      </w:pBdr>
      <w:jc w:val="right"/>
    </w:pPr>
    <w:r>
      <w:rPr>
        <w:rFonts w:ascii="Calibri" w:eastAsia="Calibri" w:hAnsi="Calibri" w:cs="Calibri"/>
        <w:color w:val="888888"/>
        <w:sz w:val="16"/>
        <w:szCs w:val="16"/>
      </w:rPr>
      <w:t>Scenario-Based Questions —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64E48"/>
    <w:multiLevelType w:val="hybridMultilevel"/>
    <w:tmpl w:val="BD04BD12"/>
    <w:lvl w:ilvl="0" w:tplc="DE7E2014">
      <w:start w:val="1"/>
      <w:numFmt w:val="bullet"/>
      <w:lvlText w:val="•"/>
      <w:lvlJc w:val="left"/>
      <w:pPr>
        <w:ind w:left="460" w:hanging="260"/>
      </w:pPr>
    </w:lvl>
    <w:lvl w:ilvl="1" w:tplc="EB70CF62">
      <w:numFmt w:val="decimal"/>
      <w:lvlText w:val=""/>
      <w:lvlJc w:val="left"/>
    </w:lvl>
    <w:lvl w:ilvl="2" w:tplc="6EAC58D0">
      <w:numFmt w:val="decimal"/>
      <w:lvlText w:val=""/>
      <w:lvlJc w:val="left"/>
    </w:lvl>
    <w:lvl w:ilvl="3" w:tplc="A35CA452">
      <w:numFmt w:val="decimal"/>
      <w:lvlText w:val=""/>
      <w:lvlJc w:val="left"/>
    </w:lvl>
    <w:lvl w:ilvl="4" w:tplc="66AC2FFA">
      <w:numFmt w:val="decimal"/>
      <w:lvlText w:val=""/>
      <w:lvlJc w:val="left"/>
    </w:lvl>
    <w:lvl w:ilvl="5" w:tplc="1640FFAE">
      <w:numFmt w:val="decimal"/>
      <w:lvlText w:val=""/>
      <w:lvlJc w:val="left"/>
    </w:lvl>
    <w:lvl w:ilvl="6" w:tplc="80F0F476">
      <w:numFmt w:val="decimal"/>
      <w:lvlText w:val=""/>
      <w:lvlJc w:val="left"/>
    </w:lvl>
    <w:lvl w:ilvl="7" w:tplc="E3446524">
      <w:numFmt w:val="decimal"/>
      <w:lvlText w:val=""/>
      <w:lvlJc w:val="left"/>
    </w:lvl>
    <w:lvl w:ilvl="8" w:tplc="A3A43896">
      <w:numFmt w:val="decimal"/>
      <w:lvlText w:val=""/>
      <w:lvlJc w:val="left"/>
    </w:lvl>
  </w:abstractNum>
  <w:abstractNum w:abstractNumId="1" w15:restartNumberingAfterBreak="0">
    <w:nsid w:val="691215BE"/>
    <w:multiLevelType w:val="hybridMultilevel"/>
    <w:tmpl w:val="EAC89B86"/>
    <w:lvl w:ilvl="0" w:tplc="CEBC82CE">
      <w:start w:val="1"/>
      <w:numFmt w:val="bullet"/>
      <w:lvlText w:val="●"/>
      <w:lvlJc w:val="left"/>
      <w:pPr>
        <w:ind w:left="720" w:hanging="360"/>
      </w:pPr>
    </w:lvl>
    <w:lvl w:ilvl="1" w:tplc="803E6076">
      <w:start w:val="1"/>
      <w:numFmt w:val="bullet"/>
      <w:lvlText w:val="○"/>
      <w:lvlJc w:val="left"/>
      <w:pPr>
        <w:ind w:left="1440" w:hanging="360"/>
      </w:pPr>
    </w:lvl>
    <w:lvl w:ilvl="2" w:tplc="0DE41EC0">
      <w:start w:val="1"/>
      <w:numFmt w:val="bullet"/>
      <w:lvlText w:val="■"/>
      <w:lvlJc w:val="left"/>
      <w:pPr>
        <w:ind w:left="2160" w:hanging="360"/>
      </w:pPr>
    </w:lvl>
    <w:lvl w:ilvl="3" w:tplc="337C759E">
      <w:start w:val="1"/>
      <w:numFmt w:val="bullet"/>
      <w:lvlText w:val="●"/>
      <w:lvlJc w:val="left"/>
      <w:pPr>
        <w:ind w:left="2880" w:hanging="360"/>
      </w:pPr>
    </w:lvl>
    <w:lvl w:ilvl="4" w:tplc="959613F2">
      <w:start w:val="1"/>
      <w:numFmt w:val="bullet"/>
      <w:lvlText w:val="○"/>
      <w:lvlJc w:val="left"/>
      <w:pPr>
        <w:ind w:left="3600" w:hanging="360"/>
      </w:pPr>
    </w:lvl>
    <w:lvl w:ilvl="5" w:tplc="6FB84484">
      <w:start w:val="1"/>
      <w:numFmt w:val="bullet"/>
      <w:lvlText w:val="■"/>
      <w:lvlJc w:val="left"/>
      <w:pPr>
        <w:ind w:left="4320" w:hanging="360"/>
      </w:pPr>
    </w:lvl>
    <w:lvl w:ilvl="6" w:tplc="E2266692">
      <w:start w:val="1"/>
      <w:numFmt w:val="bullet"/>
      <w:lvlText w:val="●"/>
      <w:lvlJc w:val="left"/>
      <w:pPr>
        <w:ind w:left="5040" w:hanging="360"/>
      </w:pPr>
    </w:lvl>
    <w:lvl w:ilvl="7" w:tplc="7B26D86A">
      <w:start w:val="1"/>
      <w:numFmt w:val="bullet"/>
      <w:lvlText w:val="●"/>
      <w:lvlJc w:val="left"/>
      <w:pPr>
        <w:ind w:left="5760" w:hanging="360"/>
      </w:pPr>
    </w:lvl>
    <w:lvl w:ilvl="8" w:tplc="E9586C92">
      <w:start w:val="1"/>
      <w:numFmt w:val="bullet"/>
      <w:lvlText w:val="●"/>
      <w:lvlJc w:val="left"/>
      <w:pPr>
        <w:ind w:left="6480" w:hanging="360"/>
      </w:pPr>
    </w:lvl>
  </w:abstractNum>
  <w:num w:numId="1" w16cid:durableId="182592219">
    <w:abstractNumId w:val="1"/>
    <w:lvlOverride w:ilvl="0">
      <w:startOverride w:val="1"/>
    </w:lvlOverride>
  </w:num>
  <w:num w:numId="2" w16cid:durableId="563879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399"/>
    <w:rsid w:val="00303D53"/>
    <w:rsid w:val="00377280"/>
    <w:rsid w:val="00A577B0"/>
    <w:rsid w:val="00E41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C24D"/>
  <w15:docId w15:val="{30211AD5-FE70-4D02-9EE1-010D0F1F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3302</Words>
  <Characters>18822</Characters>
  <Application>Microsoft Office Word</Application>
  <DocSecurity>0</DocSecurity>
  <Lines>156</Lines>
  <Paragraphs>44</Paragraphs>
  <ScaleCrop>false</ScaleCrop>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reddy Lingala</cp:lastModifiedBy>
  <cp:revision>2</cp:revision>
  <dcterms:created xsi:type="dcterms:W3CDTF">2026-08-07T08:00:00Z</dcterms:created>
  <dcterms:modified xsi:type="dcterms:W3CDTF">2026-08-07T08:02:00Z</dcterms:modified>
</cp:coreProperties>
</file>