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2BDA8" w14:textId="77777777" w:rsidR="004B3116" w:rsidRDefault="004B3116">
      <w:pPr>
        <w:spacing w:before="2000"/>
      </w:pPr>
    </w:p>
    <w:p w14:paraId="2FCDF618" w14:textId="18CDF647" w:rsidR="00EE7391" w:rsidRDefault="00EE7391">
      <w:pPr>
        <w:jc w:val="center"/>
        <w:rPr>
          <w:rFonts w:ascii="Calibri" w:eastAsia="Calibri" w:hAnsi="Calibri" w:cs="Calibri"/>
          <w:b/>
          <w:bCs/>
          <w:color w:val="1F4E79"/>
          <w:sz w:val="50"/>
          <w:szCs w:val="50"/>
        </w:rPr>
      </w:pPr>
      <w:r>
        <w:rPr>
          <w:rFonts w:ascii="Calibri" w:eastAsia="Calibri" w:hAnsi="Calibri" w:cs="Calibri"/>
          <w:b/>
          <w:bCs/>
          <w:color w:val="1F4E79"/>
          <w:sz w:val="50"/>
          <w:szCs w:val="50"/>
        </w:rPr>
        <w:t>CO2_AT3</w:t>
      </w:r>
    </w:p>
    <w:p w14:paraId="7FA2B7A9" w14:textId="5E66FB92" w:rsidR="004B3116" w:rsidRDefault="00000000">
      <w:pPr>
        <w:jc w:val="center"/>
      </w:pPr>
      <w:r>
        <w:rPr>
          <w:rFonts w:ascii="Calibri" w:eastAsia="Calibri" w:hAnsi="Calibri" w:cs="Calibri"/>
          <w:b/>
          <w:bCs/>
          <w:color w:val="1F4E79"/>
          <w:sz w:val="50"/>
          <w:szCs w:val="50"/>
        </w:rPr>
        <w:t>Application Based Questions</w:t>
      </w:r>
    </w:p>
    <w:p w14:paraId="2EE1282C" w14:textId="77777777" w:rsidR="00646CD7" w:rsidRDefault="00646CD7">
      <w:pPr>
        <w:spacing w:before="200" w:after="100"/>
        <w:jc w:val="center"/>
        <w:rPr>
          <w:rFonts w:ascii="Calibri" w:eastAsia="Calibri" w:hAnsi="Calibri" w:cs="Calibri"/>
          <w:color w:val="444444"/>
          <w:sz w:val="28"/>
          <w:szCs w:val="28"/>
        </w:rPr>
      </w:pPr>
    </w:p>
    <w:p w14:paraId="311CF5D3" w14:textId="77777777" w:rsidR="00646CD7" w:rsidRDefault="00646CD7">
      <w:pPr>
        <w:spacing w:before="200" w:after="100"/>
        <w:jc w:val="center"/>
        <w:rPr>
          <w:rFonts w:ascii="Calibri" w:eastAsia="Calibri" w:hAnsi="Calibri" w:cs="Calibri"/>
          <w:color w:val="444444"/>
          <w:sz w:val="28"/>
          <w:szCs w:val="28"/>
        </w:rPr>
      </w:pPr>
    </w:p>
    <w:p w14:paraId="4B8478AF" w14:textId="77777777" w:rsidR="00646CD7" w:rsidRDefault="00646CD7">
      <w:pPr>
        <w:spacing w:before="200" w:after="100"/>
        <w:jc w:val="center"/>
        <w:rPr>
          <w:rFonts w:ascii="Calibri" w:eastAsia="Calibri" w:hAnsi="Calibri" w:cs="Calibri"/>
          <w:color w:val="444444"/>
          <w:sz w:val="28"/>
          <w:szCs w:val="28"/>
        </w:rPr>
      </w:pPr>
    </w:p>
    <w:p w14:paraId="650E2F6D" w14:textId="6299FE88" w:rsidR="00646CD7" w:rsidRDefault="00646CD7">
      <w:pPr>
        <w:spacing w:before="200" w:after="100"/>
        <w:jc w:val="center"/>
        <w:rPr>
          <w:rFonts w:ascii="Calibri" w:eastAsia="Calibri" w:hAnsi="Calibri" w:cs="Calibri"/>
          <w:color w:val="444444"/>
          <w:sz w:val="28"/>
          <w:szCs w:val="28"/>
        </w:rPr>
      </w:pPr>
      <w:r>
        <w:rPr>
          <w:rFonts w:ascii="Calibri" w:eastAsia="Calibri" w:hAnsi="Calibri" w:cs="Calibri"/>
          <w:color w:val="444444"/>
          <w:sz w:val="28"/>
          <w:szCs w:val="28"/>
        </w:rPr>
        <w:t>L.Mithun Kumar Reddy</w:t>
      </w:r>
    </w:p>
    <w:p w14:paraId="05F3D60C" w14:textId="5402B8B5" w:rsidR="00646CD7" w:rsidRDefault="00646CD7">
      <w:pPr>
        <w:spacing w:before="200" w:after="100"/>
        <w:jc w:val="center"/>
        <w:rPr>
          <w:rFonts w:ascii="Calibri" w:eastAsia="Calibri" w:hAnsi="Calibri" w:cs="Calibri"/>
          <w:color w:val="444444"/>
          <w:sz w:val="28"/>
          <w:szCs w:val="28"/>
        </w:rPr>
      </w:pPr>
      <w:r>
        <w:rPr>
          <w:rFonts w:ascii="Calibri" w:eastAsia="Calibri" w:hAnsi="Calibri" w:cs="Calibri"/>
          <w:color w:val="444444"/>
          <w:sz w:val="28"/>
          <w:szCs w:val="28"/>
        </w:rPr>
        <w:t>192365017</w:t>
      </w:r>
    </w:p>
    <w:p w14:paraId="308C7A8D" w14:textId="77777777" w:rsidR="00646CD7" w:rsidRDefault="00646CD7">
      <w:pPr>
        <w:spacing w:before="200" w:after="100"/>
        <w:jc w:val="center"/>
        <w:rPr>
          <w:rFonts w:ascii="Calibri" w:eastAsia="Calibri" w:hAnsi="Calibri" w:cs="Calibri"/>
          <w:color w:val="444444"/>
          <w:sz w:val="28"/>
          <w:szCs w:val="28"/>
        </w:rPr>
      </w:pPr>
    </w:p>
    <w:p w14:paraId="206CC23C" w14:textId="6C3E63ED" w:rsidR="004B3116" w:rsidRDefault="00000000">
      <w:pPr>
        <w:spacing w:before="200" w:after="100"/>
        <w:jc w:val="center"/>
      </w:pPr>
      <w:r>
        <w:rPr>
          <w:rFonts w:ascii="Calibri" w:eastAsia="Calibri" w:hAnsi="Calibri" w:cs="Calibri"/>
          <w:color w:val="444444"/>
          <w:sz w:val="28"/>
          <w:szCs w:val="28"/>
        </w:rPr>
        <w:t>Cloud Computing — Assignment</w:t>
      </w:r>
    </w:p>
    <w:p w14:paraId="07644ABF" w14:textId="77777777" w:rsidR="004B3116" w:rsidRDefault="00000000">
      <w:pPr>
        <w:spacing w:before="100"/>
        <w:jc w:val="center"/>
      </w:pPr>
      <w:r>
        <w:rPr>
          <w:rFonts w:ascii="Calibri" w:eastAsia="Calibri" w:hAnsi="Calibri" w:cs="Calibri"/>
          <w:i/>
          <w:iCs/>
          <w:color w:val="666666"/>
          <w:sz w:val="22"/>
          <w:szCs w:val="22"/>
        </w:rPr>
        <w:t>Auto-Scaling, Cloud Storage, CDNs, Compliance, and Containerization</w:t>
      </w:r>
    </w:p>
    <w:p w14:paraId="2D9437C9" w14:textId="77777777" w:rsidR="004B3116" w:rsidRDefault="004B3116">
      <w:pPr>
        <w:spacing w:before="3000"/>
      </w:pPr>
    </w:p>
    <w:p w14:paraId="2A2CEEEA" w14:textId="77777777" w:rsidR="004B3116" w:rsidRDefault="00000000">
      <w:r>
        <w:br w:type="page"/>
      </w:r>
    </w:p>
    <w:p w14:paraId="18D65922" w14:textId="77777777" w:rsidR="004B3116" w:rsidRDefault="00000000">
      <w:pPr>
        <w:shd w:val="clear" w:color="auto" w:fill="DCE6F1"/>
        <w:spacing w:before="80" w:after="180"/>
      </w:pPr>
      <w:r>
        <w:rPr>
          <w:rFonts w:ascii="Calibri" w:eastAsia="Calibri" w:hAnsi="Calibri" w:cs="Calibri"/>
          <w:b/>
          <w:bCs/>
          <w:color w:val="1F4E79"/>
          <w:sz w:val="25"/>
          <w:szCs w:val="25"/>
        </w:rPr>
        <w:lastRenderedPageBreak/>
        <w:t xml:space="preserve">Question 1: </w:t>
      </w:r>
      <w:r>
        <w:rPr>
          <w:rFonts w:ascii="Calibri" w:eastAsia="Calibri" w:hAnsi="Calibri" w:cs="Calibri"/>
          <w:b/>
          <w:bCs/>
          <w:sz w:val="25"/>
          <w:szCs w:val="25"/>
        </w:rPr>
        <w:t>A company experiences unpredictable traffic spikes during seasonal sales. Explain how cloud auto-scaling and load balancing can handle this demand efficiently, how this reduces downtime and improves user experience, the role of monitoring tools, and relate this to a real-world e-commerce scenario.</w:t>
      </w:r>
    </w:p>
    <w:p w14:paraId="722623D2"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1. The Problem: Unpredictable Seasonal Demand</w:t>
      </w:r>
    </w:p>
    <w:p w14:paraId="3C393184" w14:textId="77777777" w:rsidR="004B3116" w:rsidRDefault="00000000">
      <w:pPr>
        <w:spacing w:after="110" w:line="285" w:lineRule="auto"/>
        <w:jc w:val="both"/>
      </w:pPr>
      <w:r>
        <w:rPr>
          <w:rFonts w:ascii="Calibri" w:eastAsia="Calibri" w:hAnsi="Calibri" w:cs="Calibri"/>
          <w:sz w:val="21"/>
          <w:szCs w:val="21"/>
        </w:rPr>
        <w:t>Seasonal sales events (e.g., Black Friday, Diwali sales, New Year offers) generate traffic spikes that can be 10-50 times normal load within minutes. Provisioning fixed infrastructure for peak demand year-round is wasteful, while under-provisioning risks site crashes at the exact moment revenue is highest. Cloud auto-scaling and load balancing together solve this by making capacity elastic and responsive to real-time demand.</w:t>
      </w:r>
    </w:p>
    <w:p w14:paraId="792D631A"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2. Auto-Scaling</w:t>
      </w:r>
    </w:p>
    <w:p w14:paraId="5D3FC797" w14:textId="77777777" w:rsidR="004B3116" w:rsidRDefault="00000000">
      <w:pPr>
        <w:spacing w:after="110" w:line="285" w:lineRule="auto"/>
        <w:jc w:val="both"/>
      </w:pPr>
      <w:r>
        <w:rPr>
          <w:rFonts w:ascii="Calibri" w:eastAsia="Calibri" w:hAnsi="Calibri" w:cs="Calibri"/>
          <w:sz w:val="21"/>
          <w:szCs w:val="21"/>
        </w:rPr>
        <w:t>Auto-scaling automatically adds or removes compute instances (VMs, containers) based on defined metrics — CPU utilization, request rate, queue length, or custom application metrics. Horizontal auto-scaling (scaling out/in) adds more instances behind a load balancer as demand rises and removes them as demand falls, while vertical scaling increases the resources of an existing instance. Cloud platforms (AWS Auto Scaling Groups, Azure VM Scale Sets, GCP Managed Instance Groups) support scaling policies — target tracking (e.g., keep CPU at 60%), step scaling, or scheduled scaling (pre-emptively scaling up before a known sale start time).</w:t>
      </w:r>
    </w:p>
    <w:p w14:paraId="72D8E277"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3. Load Balancing</w:t>
      </w:r>
    </w:p>
    <w:p w14:paraId="0574DDAE" w14:textId="77777777" w:rsidR="004B3116" w:rsidRDefault="00000000">
      <w:pPr>
        <w:spacing w:after="110" w:line="285" w:lineRule="auto"/>
        <w:jc w:val="both"/>
      </w:pPr>
      <w:r>
        <w:rPr>
          <w:rFonts w:ascii="Calibri" w:eastAsia="Calibri" w:hAnsi="Calibri" w:cs="Calibri"/>
          <w:sz w:val="21"/>
          <w:szCs w:val="21"/>
        </w:rPr>
        <w:t>A load balancer (Application Load Balancer, NGINX, HAProxy, or a cloud-native service like AWS ELB) distributes incoming requests evenly across all healthy instances, preventing any single server from becoming a bottleneck. It performs continuous health checks, automatically routing traffic away from unhealthy or overloaded instances, and works hand-in-hand with auto-scaling: as new instances spin up, the load balancer registers them and begins routing traffic; as instances are terminated during scale-in, it drains connections gracefully first.</w:t>
      </w:r>
    </w:p>
    <w:p w14:paraId="6F6905CB"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4. Reducing Downtime and Improving User Experience</w:t>
      </w:r>
    </w:p>
    <w:p w14:paraId="2B1035AF"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Elimination of single points of failure:</w:t>
      </w:r>
      <w:r>
        <w:rPr>
          <w:rFonts w:ascii="Calibri" w:eastAsia="Calibri" w:hAnsi="Calibri" w:cs="Calibri"/>
          <w:sz w:val="21"/>
          <w:szCs w:val="21"/>
        </w:rPr>
        <w:t xml:space="preserve"> If one instance fails under load, the load balancer redirects traffic instantly, and auto-scaling replaces the failed instance — avoiding the single point of failure a fixed-capacity server represents.</w:t>
      </w:r>
    </w:p>
    <w:p w14:paraId="27E834A5"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Consistent response times:</w:t>
      </w:r>
      <w:r>
        <w:rPr>
          <w:rFonts w:ascii="Calibri" w:eastAsia="Calibri" w:hAnsi="Calibri" w:cs="Calibri"/>
          <w:sz w:val="21"/>
          <w:szCs w:val="21"/>
        </w:rPr>
        <w:t xml:space="preserve"> New capacity is added within seconds to minutes of demand rising, keeping response times low even during flash-sale traffic surges, which directly prevents cart-abandonment caused by slow pages.</w:t>
      </w:r>
    </w:p>
    <w:p w14:paraId="12386F04"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High availability across zones:</w:t>
      </w:r>
      <w:r>
        <w:rPr>
          <w:rFonts w:ascii="Calibri" w:eastAsia="Calibri" w:hAnsi="Calibri" w:cs="Calibri"/>
          <w:sz w:val="21"/>
          <w:szCs w:val="21"/>
        </w:rPr>
        <w:t xml:space="preserve"> Auto-scaling groups can span multiple availability zones, so a zone-level outage does not take the whole application down.</w:t>
      </w:r>
    </w:p>
    <w:p w14:paraId="1A07B476"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5. Role of Monitoring Tools</w:t>
      </w:r>
    </w:p>
    <w:p w14:paraId="34A2DBB3" w14:textId="77777777" w:rsidR="004B3116" w:rsidRDefault="00000000">
      <w:pPr>
        <w:spacing w:after="110" w:line="285" w:lineRule="auto"/>
        <w:jc w:val="both"/>
      </w:pPr>
      <w:r>
        <w:rPr>
          <w:rFonts w:ascii="Calibri" w:eastAsia="Calibri" w:hAnsi="Calibri" w:cs="Calibri"/>
          <w:sz w:val="21"/>
          <w:szCs w:val="21"/>
        </w:rPr>
        <w:t xml:space="preserve">Monitoring tools (AWS CloudWatch, Azure Monitor, Google Cloud Operations, Prometheus/Grafana) are the sensory system that drives auto-scaling decisions. They continuously collect metrics such as CPU/memory utilization, request latency, error rates, and queue depth, and trigger scaling policies when thresholds are crossed. Monitoring also provides real-time dashboards and alerting so the operations team can spot anomalies (e.g., a sudden error-rate spike </w:t>
      </w:r>
      <w:r>
        <w:rPr>
          <w:rFonts w:ascii="Calibri" w:eastAsia="Calibri" w:hAnsi="Calibri" w:cs="Calibri"/>
          <w:sz w:val="21"/>
          <w:szCs w:val="21"/>
        </w:rPr>
        <w:lastRenderedPageBreak/>
        <w:t>suggesting a backend database bottleneck rather than pure traffic volume) that auto-scaling alone cannot fix, and it supplies the historical data needed to fine-tune scaling policies and predict future sale-day capacity needs.</w:t>
      </w:r>
    </w:p>
    <w:p w14:paraId="66D32AC8"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6. Real-World E-Commerce Scenario</w:t>
      </w:r>
    </w:p>
    <w:p w14:paraId="4E1D22CE" w14:textId="77777777" w:rsidR="004B3116" w:rsidRDefault="00000000">
      <w:pPr>
        <w:spacing w:after="110" w:line="285" w:lineRule="auto"/>
        <w:jc w:val="both"/>
      </w:pPr>
      <w:r>
        <w:rPr>
          <w:rFonts w:ascii="Calibri" w:eastAsia="Calibri" w:hAnsi="Calibri" w:cs="Calibri"/>
          <w:sz w:val="21"/>
          <w:szCs w:val="21"/>
        </w:rPr>
        <w:t>Consider an e-commerce platform similar to Amazon or Flipkart during a 'Big Billion Days'-style sale. Under normal conditions the platform runs on a modest fleet of web/application servers. As the sale begins, CloudWatch-style monitoring detects rising CPU utilization and request latency; the auto-scaling group responds by launching additional application server instances within minutes, while the load balancer immediately begins distributing new checkout and browsing requests to them. Database read replicas and caching layers (e.g., Redis/CDN for product images) are scaled in parallel to prevent the backend from becoming the new bottleneck. As the flash-sale traffic subsides late at night, auto-scaling terminates the extra instances, returning cost to baseline. The net effect is that customers experience fast page loads and successful checkouts throughout the peak, the company avoids the reputational and revenue damage of a crash during its highest-traffic hours, and infrastructure cost stays proportional to actual demand rather than being provisioned for the worst case year-round.</w:t>
      </w:r>
    </w:p>
    <w:p w14:paraId="4ECD251B" w14:textId="77777777" w:rsidR="004B3116" w:rsidRDefault="00000000">
      <w:r>
        <w:br w:type="page"/>
      </w:r>
    </w:p>
    <w:p w14:paraId="2F1568B5" w14:textId="77777777" w:rsidR="004B3116" w:rsidRDefault="00000000">
      <w:pPr>
        <w:shd w:val="clear" w:color="auto" w:fill="DCE6F1"/>
        <w:spacing w:before="80" w:after="180"/>
      </w:pPr>
      <w:r>
        <w:rPr>
          <w:rFonts w:ascii="Calibri" w:eastAsia="Calibri" w:hAnsi="Calibri" w:cs="Calibri"/>
          <w:b/>
          <w:bCs/>
          <w:color w:val="1F4E79"/>
          <w:sz w:val="25"/>
          <w:szCs w:val="25"/>
        </w:rPr>
        <w:lastRenderedPageBreak/>
        <w:t xml:space="preserve">Question 2: </w:t>
      </w:r>
      <w:r>
        <w:rPr>
          <w:rFonts w:ascii="Calibri" w:eastAsia="Calibri" w:hAnsi="Calibri" w:cs="Calibri"/>
          <w:b/>
          <w:bCs/>
          <w:sz w:val="25"/>
          <w:szCs w:val="25"/>
        </w:rPr>
        <w:t>An organization wants to store large volumes of backup data securely in the cloud. Discuss how cloud storage solutions ensure durability and data redundancy, how encryption and access control protect sensitive backup data, the cost advantages compared to traditional storage, and an example disaster recovery use case.</w:t>
      </w:r>
    </w:p>
    <w:p w14:paraId="635EB0CF"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1. Durability and Data Redundancy</w:t>
      </w:r>
    </w:p>
    <w:p w14:paraId="42B1D2DC" w14:textId="77777777" w:rsidR="004B3116" w:rsidRDefault="00000000">
      <w:pPr>
        <w:spacing w:after="110" w:line="285" w:lineRule="auto"/>
        <w:jc w:val="both"/>
      </w:pPr>
      <w:r>
        <w:rPr>
          <w:rFonts w:ascii="Calibri" w:eastAsia="Calibri" w:hAnsi="Calibri" w:cs="Calibri"/>
          <w:sz w:val="21"/>
          <w:szCs w:val="21"/>
        </w:rPr>
        <w:t>Cloud storage services (Amazon S3, Azure Blob Storage, Google Cloud Storage) are engineered for extremely high durability — commonly advertised at 99.999999999% ('eleven nines') annual durability — achieved by automatically replicating every object across multiple physical devices within a data center, and often across multiple availability zones or geographic regions. This redundancy means the loss of a single disk, server rack, or even an entire data center does not result in data loss, because identical copies exist elsewhere. Providers also offer configurable redundancy tiers, for example locally redundant storage (LRS), zone-redundant storage (ZRS), and geo-redundant storage (GRS), letting an organization choose the trade-off between cost and resilience appropriate for its backup data.</w:t>
      </w:r>
    </w:p>
    <w:p w14:paraId="3AF31DB6"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2. Encryption and Access Control</w:t>
      </w:r>
    </w:p>
    <w:p w14:paraId="1BC79627" w14:textId="77777777" w:rsidR="004B3116" w:rsidRDefault="00000000">
      <w:pPr>
        <w:pStyle w:val="Heading2"/>
        <w:spacing w:before="180" w:after="90"/>
      </w:pPr>
      <w:r>
        <w:rPr>
          <w:rFonts w:ascii="Calibri" w:eastAsia="Calibri" w:hAnsi="Calibri" w:cs="Calibri"/>
          <w:b/>
          <w:bCs/>
          <w:color w:val="1F4E79"/>
          <w:sz w:val="23"/>
          <w:szCs w:val="23"/>
        </w:rPr>
        <w:t>2.1 Encryption</w:t>
      </w:r>
    </w:p>
    <w:p w14:paraId="52D81123" w14:textId="77777777" w:rsidR="004B3116" w:rsidRDefault="00000000">
      <w:pPr>
        <w:spacing w:after="110" w:line="285" w:lineRule="auto"/>
        <w:jc w:val="both"/>
      </w:pPr>
      <w:r>
        <w:rPr>
          <w:rFonts w:ascii="Calibri" w:eastAsia="Calibri" w:hAnsi="Calibri" w:cs="Calibri"/>
          <w:sz w:val="21"/>
          <w:szCs w:val="21"/>
        </w:rPr>
        <w:t>Cloud storage supports encryption at rest (data is encrypted on disk using AES-256, either with provider-managed keys or customer-managed keys via a Key Management Service/HSM) and encryption in transit (TLS/SSL protects data as it moves between the organization and the cloud). For highly sensitive backups, customer-managed encryption keys ensure that even the cloud provider cannot read the data without authorization, and key rotation policies further limit exposure if a key is ever compromised.</w:t>
      </w:r>
    </w:p>
    <w:p w14:paraId="461643AE" w14:textId="77777777" w:rsidR="004B3116" w:rsidRDefault="00000000">
      <w:pPr>
        <w:pStyle w:val="Heading2"/>
        <w:spacing w:before="180" w:after="90"/>
      </w:pPr>
      <w:r>
        <w:rPr>
          <w:rFonts w:ascii="Calibri" w:eastAsia="Calibri" w:hAnsi="Calibri" w:cs="Calibri"/>
          <w:b/>
          <w:bCs/>
          <w:color w:val="1F4E79"/>
          <w:sz w:val="23"/>
          <w:szCs w:val="23"/>
        </w:rPr>
        <w:t>2.2 Access Control</w:t>
      </w:r>
    </w:p>
    <w:p w14:paraId="5F2F4D7D" w14:textId="77777777" w:rsidR="004B3116" w:rsidRDefault="00000000">
      <w:pPr>
        <w:spacing w:after="110" w:line="285" w:lineRule="auto"/>
        <w:jc w:val="both"/>
      </w:pPr>
      <w:r>
        <w:rPr>
          <w:rFonts w:ascii="Calibri" w:eastAsia="Calibri" w:hAnsi="Calibri" w:cs="Calibri"/>
          <w:sz w:val="21"/>
          <w:szCs w:val="21"/>
        </w:rPr>
        <w:t>Identity and Access Management (IAM) policies enforce least-privilege access — only specific roles or service accounts can read, write, or delete backup objects. Additional protections include bucket/container policies, multi-factor authentication for destructive operations, object versioning (protecting against accidental or malicious overwrite/deletion), and immutability features such as write-once-read-many (WORM) locks that prevent backups from being altered or deleted even by an administrator for a defined retention period — critical for ransomware resilience.</w:t>
      </w:r>
    </w:p>
    <w:p w14:paraId="34BCA81A"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3. Cost Advantages over Traditional Storage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300"/>
      </w:tblGrid>
      <w:tr w:rsidR="004B3116" w14:paraId="62426F53" w14:textId="77777777">
        <w:trPr>
          <w:tblHeader/>
        </w:trPr>
        <w:tc>
          <w:tcPr>
            <w:tcW w:w="2600" w:type="dxa"/>
            <w:shd w:val="clear" w:color="auto" w:fill="1F4E79"/>
            <w:tcMar>
              <w:top w:w="70" w:type="dxa"/>
              <w:left w:w="90" w:type="dxa"/>
              <w:bottom w:w="70" w:type="dxa"/>
              <w:right w:w="90" w:type="dxa"/>
            </w:tcMar>
          </w:tcPr>
          <w:p w14:paraId="4489B24E" w14:textId="77777777" w:rsidR="004B3116" w:rsidRDefault="00000000">
            <w:r>
              <w:rPr>
                <w:rFonts w:ascii="Calibri" w:eastAsia="Calibri" w:hAnsi="Calibri" w:cs="Calibri"/>
                <w:b/>
                <w:bCs/>
                <w:color w:val="FFFFFF"/>
                <w:sz w:val="19"/>
                <w:szCs w:val="19"/>
              </w:rPr>
              <w:t>Factor</w:t>
            </w:r>
          </w:p>
        </w:tc>
        <w:tc>
          <w:tcPr>
            <w:tcW w:w="3300" w:type="dxa"/>
            <w:shd w:val="clear" w:color="auto" w:fill="1F4E79"/>
            <w:tcMar>
              <w:top w:w="70" w:type="dxa"/>
              <w:left w:w="90" w:type="dxa"/>
              <w:bottom w:w="70" w:type="dxa"/>
              <w:right w:w="90" w:type="dxa"/>
            </w:tcMar>
          </w:tcPr>
          <w:p w14:paraId="718A3166" w14:textId="77777777" w:rsidR="004B3116" w:rsidRDefault="00000000">
            <w:r>
              <w:rPr>
                <w:rFonts w:ascii="Calibri" w:eastAsia="Calibri" w:hAnsi="Calibri" w:cs="Calibri"/>
                <w:b/>
                <w:bCs/>
                <w:color w:val="FFFFFF"/>
                <w:sz w:val="19"/>
                <w:szCs w:val="19"/>
              </w:rPr>
              <w:t>Traditional On-Premises Storage</w:t>
            </w:r>
          </w:p>
        </w:tc>
        <w:tc>
          <w:tcPr>
            <w:tcW w:w="3300" w:type="dxa"/>
            <w:shd w:val="clear" w:color="auto" w:fill="1F4E79"/>
            <w:tcMar>
              <w:top w:w="70" w:type="dxa"/>
              <w:left w:w="90" w:type="dxa"/>
              <w:bottom w:w="70" w:type="dxa"/>
              <w:right w:w="90" w:type="dxa"/>
            </w:tcMar>
          </w:tcPr>
          <w:p w14:paraId="5D9618CE" w14:textId="77777777" w:rsidR="004B3116" w:rsidRDefault="00000000">
            <w:r>
              <w:rPr>
                <w:rFonts w:ascii="Calibri" w:eastAsia="Calibri" w:hAnsi="Calibri" w:cs="Calibri"/>
                <w:b/>
                <w:bCs/>
                <w:color w:val="FFFFFF"/>
                <w:sz w:val="19"/>
                <w:szCs w:val="19"/>
              </w:rPr>
              <w:t>Cloud Storage</w:t>
            </w:r>
          </w:p>
        </w:tc>
      </w:tr>
      <w:tr w:rsidR="004B3116" w14:paraId="40B8C24B" w14:textId="77777777">
        <w:tc>
          <w:tcPr>
            <w:tcW w:w="2600" w:type="dxa"/>
            <w:shd w:val="clear" w:color="auto" w:fill="F2F6FA"/>
            <w:tcMar>
              <w:top w:w="60" w:type="dxa"/>
              <w:left w:w="90" w:type="dxa"/>
              <w:bottom w:w="60" w:type="dxa"/>
              <w:right w:w="90" w:type="dxa"/>
            </w:tcMar>
          </w:tcPr>
          <w:p w14:paraId="29B5B0D9" w14:textId="77777777" w:rsidR="004B3116" w:rsidRDefault="00000000">
            <w:r>
              <w:rPr>
                <w:rFonts w:ascii="Calibri" w:eastAsia="Calibri" w:hAnsi="Calibri" w:cs="Calibri"/>
                <w:sz w:val="19"/>
                <w:szCs w:val="19"/>
              </w:rPr>
              <w:t>Capital expenditure</w:t>
            </w:r>
          </w:p>
        </w:tc>
        <w:tc>
          <w:tcPr>
            <w:tcW w:w="3300" w:type="dxa"/>
            <w:shd w:val="clear" w:color="auto" w:fill="F2F6FA"/>
            <w:tcMar>
              <w:top w:w="60" w:type="dxa"/>
              <w:left w:w="90" w:type="dxa"/>
              <w:bottom w:w="60" w:type="dxa"/>
              <w:right w:w="90" w:type="dxa"/>
            </w:tcMar>
          </w:tcPr>
          <w:p w14:paraId="3A4E4BAD" w14:textId="77777777" w:rsidR="004B3116" w:rsidRDefault="00000000">
            <w:r>
              <w:rPr>
                <w:rFonts w:ascii="Calibri" w:eastAsia="Calibri" w:hAnsi="Calibri" w:cs="Calibri"/>
                <w:sz w:val="19"/>
                <w:szCs w:val="19"/>
              </w:rPr>
              <w:t>High upfront cost for disk arrays/tape libraries</w:t>
            </w:r>
          </w:p>
        </w:tc>
        <w:tc>
          <w:tcPr>
            <w:tcW w:w="3300" w:type="dxa"/>
            <w:shd w:val="clear" w:color="auto" w:fill="F2F6FA"/>
            <w:tcMar>
              <w:top w:w="60" w:type="dxa"/>
              <w:left w:w="90" w:type="dxa"/>
              <w:bottom w:w="60" w:type="dxa"/>
              <w:right w:w="90" w:type="dxa"/>
            </w:tcMar>
          </w:tcPr>
          <w:p w14:paraId="68B9F354" w14:textId="77777777" w:rsidR="004B3116" w:rsidRDefault="00000000">
            <w:r>
              <w:rPr>
                <w:rFonts w:ascii="Calibri" w:eastAsia="Calibri" w:hAnsi="Calibri" w:cs="Calibri"/>
                <w:sz w:val="19"/>
                <w:szCs w:val="19"/>
              </w:rPr>
              <w:t>Pay-as-you-go; no upfront hardware purchase</w:t>
            </w:r>
          </w:p>
        </w:tc>
      </w:tr>
      <w:tr w:rsidR="004B3116" w14:paraId="31827104" w14:textId="77777777">
        <w:tc>
          <w:tcPr>
            <w:tcW w:w="2600" w:type="dxa"/>
            <w:shd w:val="clear" w:color="auto" w:fill="FFFFFF"/>
            <w:tcMar>
              <w:top w:w="60" w:type="dxa"/>
              <w:left w:w="90" w:type="dxa"/>
              <w:bottom w:w="60" w:type="dxa"/>
              <w:right w:w="90" w:type="dxa"/>
            </w:tcMar>
          </w:tcPr>
          <w:p w14:paraId="0B029CDA" w14:textId="77777777" w:rsidR="004B3116" w:rsidRDefault="00000000">
            <w:r>
              <w:rPr>
                <w:rFonts w:ascii="Calibri" w:eastAsia="Calibri" w:hAnsi="Calibri" w:cs="Calibri"/>
                <w:sz w:val="19"/>
                <w:szCs w:val="19"/>
              </w:rPr>
              <w:t>Scalability</w:t>
            </w:r>
          </w:p>
        </w:tc>
        <w:tc>
          <w:tcPr>
            <w:tcW w:w="3300" w:type="dxa"/>
            <w:shd w:val="clear" w:color="auto" w:fill="FFFFFF"/>
            <w:tcMar>
              <w:top w:w="60" w:type="dxa"/>
              <w:left w:w="90" w:type="dxa"/>
              <w:bottom w:w="60" w:type="dxa"/>
              <w:right w:w="90" w:type="dxa"/>
            </w:tcMar>
          </w:tcPr>
          <w:p w14:paraId="7E48165B" w14:textId="77777777" w:rsidR="004B3116" w:rsidRDefault="00000000">
            <w:r>
              <w:rPr>
                <w:rFonts w:ascii="Calibri" w:eastAsia="Calibri" w:hAnsi="Calibri" w:cs="Calibri"/>
                <w:sz w:val="19"/>
                <w:szCs w:val="19"/>
              </w:rPr>
              <w:t>Manual procurement to add capacity</w:t>
            </w:r>
          </w:p>
        </w:tc>
        <w:tc>
          <w:tcPr>
            <w:tcW w:w="3300" w:type="dxa"/>
            <w:shd w:val="clear" w:color="auto" w:fill="FFFFFF"/>
            <w:tcMar>
              <w:top w:w="60" w:type="dxa"/>
              <w:left w:w="90" w:type="dxa"/>
              <w:bottom w:w="60" w:type="dxa"/>
              <w:right w:w="90" w:type="dxa"/>
            </w:tcMar>
          </w:tcPr>
          <w:p w14:paraId="2E8EA5FC" w14:textId="77777777" w:rsidR="004B3116" w:rsidRDefault="00000000">
            <w:r>
              <w:rPr>
                <w:rFonts w:ascii="Calibri" w:eastAsia="Calibri" w:hAnsi="Calibri" w:cs="Calibri"/>
                <w:sz w:val="19"/>
                <w:szCs w:val="19"/>
              </w:rPr>
              <w:t>Instant, elastic scaling to any volume</w:t>
            </w:r>
          </w:p>
        </w:tc>
      </w:tr>
      <w:tr w:rsidR="004B3116" w14:paraId="32CD79BF" w14:textId="77777777">
        <w:tc>
          <w:tcPr>
            <w:tcW w:w="2600" w:type="dxa"/>
            <w:shd w:val="clear" w:color="auto" w:fill="F2F6FA"/>
            <w:tcMar>
              <w:top w:w="60" w:type="dxa"/>
              <w:left w:w="90" w:type="dxa"/>
              <w:bottom w:w="60" w:type="dxa"/>
              <w:right w:w="90" w:type="dxa"/>
            </w:tcMar>
          </w:tcPr>
          <w:p w14:paraId="74367054" w14:textId="77777777" w:rsidR="004B3116" w:rsidRDefault="00000000">
            <w:r>
              <w:rPr>
                <w:rFonts w:ascii="Calibri" w:eastAsia="Calibri" w:hAnsi="Calibri" w:cs="Calibri"/>
                <w:sz w:val="19"/>
                <w:szCs w:val="19"/>
              </w:rPr>
              <w:t>Redundancy cost</w:t>
            </w:r>
          </w:p>
        </w:tc>
        <w:tc>
          <w:tcPr>
            <w:tcW w:w="3300" w:type="dxa"/>
            <w:shd w:val="clear" w:color="auto" w:fill="F2F6FA"/>
            <w:tcMar>
              <w:top w:w="60" w:type="dxa"/>
              <w:left w:w="90" w:type="dxa"/>
              <w:bottom w:w="60" w:type="dxa"/>
              <w:right w:w="90" w:type="dxa"/>
            </w:tcMar>
          </w:tcPr>
          <w:p w14:paraId="67804A76" w14:textId="77777777" w:rsidR="004B3116" w:rsidRDefault="00000000">
            <w:r>
              <w:rPr>
                <w:rFonts w:ascii="Calibri" w:eastAsia="Calibri" w:hAnsi="Calibri" w:cs="Calibri"/>
                <w:sz w:val="19"/>
                <w:szCs w:val="19"/>
              </w:rPr>
              <w:t>Organization must build/maintain a second site</w:t>
            </w:r>
          </w:p>
        </w:tc>
        <w:tc>
          <w:tcPr>
            <w:tcW w:w="3300" w:type="dxa"/>
            <w:shd w:val="clear" w:color="auto" w:fill="F2F6FA"/>
            <w:tcMar>
              <w:top w:w="60" w:type="dxa"/>
              <w:left w:w="90" w:type="dxa"/>
              <w:bottom w:w="60" w:type="dxa"/>
              <w:right w:w="90" w:type="dxa"/>
            </w:tcMar>
          </w:tcPr>
          <w:p w14:paraId="3FB58C20" w14:textId="77777777" w:rsidR="004B3116" w:rsidRDefault="00000000">
            <w:r>
              <w:rPr>
                <w:rFonts w:ascii="Calibri" w:eastAsia="Calibri" w:hAnsi="Calibri" w:cs="Calibri"/>
                <w:sz w:val="19"/>
                <w:szCs w:val="19"/>
              </w:rPr>
              <w:t>Built-in multi-zone/region redundancy included</w:t>
            </w:r>
          </w:p>
        </w:tc>
      </w:tr>
      <w:tr w:rsidR="004B3116" w14:paraId="30DB3AEB" w14:textId="77777777">
        <w:tc>
          <w:tcPr>
            <w:tcW w:w="2600" w:type="dxa"/>
            <w:shd w:val="clear" w:color="auto" w:fill="FFFFFF"/>
            <w:tcMar>
              <w:top w:w="60" w:type="dxa"/>
              <w:left w:w="90" w:type="dxa"/>
              <w:bottom w:w="60" w:type="dxa"/>
              <w:right w:w="90" w:type="dxa"/>
            </w:tcMar>
          </w:tcPr>
          <w:p w14:paraId="0FC4713A" w14:textId="77777777" w:rsidR="004B3116" w:rsidRDefault="00000000">
            <w:r>
              <w:rPr>
                <w:rFonts w:ascii="Calibri" w:eastAsia="Calibri" w:hAnsi="Calibri" w:cs="Calibri"/>
                <w:sz w:val="19"/>
                <w:szCs w:val="19"/>
              </w:rPr>
              <w:t>Maintenance</w:t>
            </w:r>
          </w:p>
        </w:tc>
        <w:tc>
          <w:tcPr>
            <w:tcW w:w="3300" w:type="dxa"/>
            <w:shd w:val="clear" w:color="auto" w:fill="FFFFFF"/>
            <w:tcMar>
              <w:top w:w="60" w:type="dxa"/>
              <w:left w:w="90" w:type="dxa"/>
              <w:bottom w:w="60" w:type="dxa"/>
              <w:right w:w="90" w:type="dxa"/>
            </w:tcMar>
          </w:tcPr>
          <w:p w14:paraId="7E387391" w14:textId="77777777" w:rsidR="004B3116" w:rsidRDefault="00000000">
            <w:r>
              <w:rPr>
                <w:rFonts w:ascii="Calibri" w:eastAsia="Calibri" w:hAnsi="Calibri" w:cs="Calibri"/>
                <w:sz w:val="19"/>
                <w:szCs w:val="19"/>
              </w:rPr>
              <w:t>In-house staff for hardware, refresh cycles</w:t>
            </w:r>
          </w:p>
        </w:tc>
        <w:tc>
          <w:tcPr>
            <w:tcW w:w="3300" w:type="dxa"/>
            <w:shd w:val="clear" w:color="auto" w:fill="FFFFFF"/>
            <w:tcMar>
              <w:top w:w="60" w:type="dxa"/>
              <w:left w:w="90" w:type="dxa"/>
              <w:bottom w:w="60" w:type="dxa"/>
              <w:right w:w="90" w:type="dxa"/>
            </w:tcMar>
          </w:tcPr>
          <w:p w14:paraId="56B6760A" w14:textId="77777777" w:rsidR="004B3116" w:rsidRDefault="00000000">
            <w:r>
              <w:rPr>
                <w:rFonts w:ascii="Calibri" w:eastAsia="Calibri" w:hAnsi="Calibri" w:cs="Calibri"/>
                <w:sz w:val="19"/>
                <w:szCs w:val="19"/>
              </w:rPr>
              <w:t>Provider-managed infrastructure and patching</w:t>
            </w:r>
          </w:p>
        </w:tc>
      </w:tr>
      <w:tr w:rsidR="004B3116" w14:paraId="6B24FA74" w14:textId="77777777">
        <w:tc>
          <w:tcPr>
            <w:tcW w:w="2600" w:type="dxa"/>
            <w:shd w:val="clear" w:color="auto" w:fill="F2F6FA"/>
            <w:tcMar>
              <w:top w:w="60" w:type="dxa"/>
              <w:left w:w="90" w:type="dxa"/>
              <w:bottom w:w="60" w:type="dxa"/>
              <w:right w:w="90" w:type="dxa"/>
            </w:tcMar>
          </w:tcPr>
          <w:p w14:paraId="657028AE" w14:textId="77777777" w:rsidR="004B3116" w:rsidRDefault="00000000">
            <w:r>
              <w:rPr>
                <w:rFonts w:ascii="Calibri" w:eastAsia="Calibri" w:hAnsi="Calibri" w:cs="Calibri"/>
                <w:sz w:val="19"/>
                <w:szCs w:val="19"/>
              </w:rPr>
              <w:t>Storage tiering</w:t>
            </w:r>
          </w:p>
        </w:tc>
        <w:tc>
          <w:tcPr>
            <w:tcW w:w="3300" w:type="dxa"/>
            <w:shd w:val="clear" w:color="auto" w:fill="F2F6FA"/>
            <w:tcMar>
              <w:top w:w="60" w:type="dxa"/>
              <w:left w:w="90" w:type="dxa"/>
              <w:bottom w:w="60" w:type="dxa"/>
              <w:right w:w="90" w:type="dxa"/>
            </w:tcMar>
          </w:tcPr>
          <w:p w14:paraId="1AD576DA" w14:textId="77777777" w:rsidR="004B3116" w:rsidRDefault="00000000">
            <w:r>
              <w:rPr>
                <w:rFonts w:ascii="Calibri" w:eastAsia="Calibri" w:hAnsi="Calibri" w:cs="Calibri"/>
                <w:sz w:val="19"/>
                <w:szCs w:val="19"/>
              </w:rPr>
              <w:t>Limited; one class of storage typically used</w:t>
            </w:r>
          </w:p>
        </w:tc>
        <w:tc>
          <w:tcPr>
            <w:tcW w:w="3300" w:type="dxa"/>
            <w:shd w:val="clear" w:color="auto" w:fill="F2F6FA"/>
            <w:tcMar>
              <w:top w:w="60" w:type="dxa"/>
              <w:left w:w="90" w:type="dxa"/>
              <w:bottom w:w="60" w:type="dxa"/>
              <w:right w:w="90" w:type="dxa"/>
            </w:tcMar>
          </w:tcPr>
          <w:p w14:paraId="0A3D424B" w14:textId="77777777" w:rsidR="004B3116" w:rsidRDefault="00000000">
            <w:r>
              <w:rPr>
                <w:rFonts w:ascii="Calibri" w:eastAsia="Calibri" w:hAnsi="Calibri" w:cs="Calibri"/>
                <w:sz w:val="19"/>
                <w:szCs w:val="19"/>
              </w:rPr>
              <w:t>Hot/Cool/Archive tiers cut cost for infrequent-access backups</w:t>
            </w:r>
          </w:p>
        </w:tc>
      </w:tr>
    </w:tbl>
    <w:p w14:paraId="04A931B9" w14:textId="77777777" w:rsidR="004B3116" w:rsidRDefault="00000000">
      <w:pPr>
        <w:spacing w:after="110" w:line="285" w:lineRule="auto"/>
        <w:jc w:val="both"/>
      </w:pPr>
      <w:r>
        <w:rPr>
          <w:rFonts w:ascii="Calibri" w:eastAsia="Calibri" w:hAnsi="Calibri" w:cs="Calibri"/>
          <w:sz w:val="21"/>
          <w:szCs w:val="21"/>
        </w:rPr>
        <w:t xml:space="preserve">Storage tiering is particularly valuable for backups: older, rarely accessed backup data can be automatically moved to low-cost archive tiers (e.g., S3 Glacier, Azure Archive Storage) at a fraction of standard storage pricing, while recent </w:t>
      </w:r>
      <w:r>
        <w:rPr>
          <w:rFonts w:ascii="Calibri" w:eastAsia="Calibri" w:hAnsi="Calibri" w:cs="Calibri"/>
          <w:sz w:val="21"/>
          <w:szCs w:val="21"/>
        </w:rPr>
        <w:lastRenderedPageBreak/>
        <w:t>backups needed for fast recovery remain in higher-performance tiers — an optimization that is impractical to replicate cost-effectively with physical tape or disk infrastructure.</w:t>
      </w:r>
    </w:p>
    <w:p w14:paraId="69E54A2A"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4. Disaster Recovery Use Case</w:t>
      </w:r>
    </w:p>
    <w:p w14:paraId="1C5B23CC" w14:textId="77777777" w:rsidR="004B3116" w:rsidRDefault="00000000">
      <w:pPr>
        <w:spacing w:after="110" w:line="285" w:lineRule="auto"/>
        <w:jc w:val="both"/>
      </w:pPr>
      <w:r>
        <w:rPr>
          <w:rFonts w:ascii="Calibri" w:eastAsia="Calibri" w:hAnsi="Calibri" w:cs="Calibri"/>
          <w:sz w:val="21"/>
          <w:szCs w:val="21"/>
        </w:rPr>
        <w:t>Consider a mid-sized company whose on-premises data center suffers a fire or flood. Because the company had configured geo-redundant cloud backups (with nightly incremental and weekly full backups replicated to a region hundreds of kilometers away), the IT team can immediately provision new compute resources in the cloud (or a recovery site) and restore databases and file systems from the most recent cloud backup — often within hours rather than the days or weeks a traditional off-site tape rotation would require. Because the backups were encrypted and access-controlled, the company also has assurance that the backup data itself was never a vulnerable, unencrypted copy sitting in a physical off-site vault. This illustrates the two pillars of cloud-based disaster recovery: geographic redundancy for data survival and rapid, on-demand compute provisioning for fast recovery time objectives (RTO).</w:t>
      </w:r>
    </w:p>
    <w:p w14:paraId="6F790A38" w14:textId="77777777" w:rsidR="004B3116" w:rsidRDefault="00000000">
      <w:r>
        <w:br w:type="page"/>
      </w:r>
    </w:p>
    <w:p w14:paraId="118A00A1" w14:textId="77777777" w:rsidR="004B3116" w:rsidRDefault="00000000">
      <w:pPr>
        <w:shd w:val="clear" w:color="auto" w:fill="DCE6F1"/>
        <w:spacing w:before="80" w:after="180"/>
      </w:pPr>
      <w:r>
        <w:rPr>
          <w:rFonts w:ascii="Calibri" w:eastAsia="Calibri" w:hAnsi="Calibri" w:cs="Calibri"/>
          <w:b/>
          <w:bCs/>
          <w:color w:val="1F4E79"/>
          <w:sz w:val="25"/>
          <w:szCs w:val="25"/>
        </w:rPr>
        <w:lastRenderedPageBreak/>
        <w:t xml:space="preserve">Question 3: </w:t>
      </w:r>
      <w:r>
        <w:rPr>
          <w:rFonts w:ascii="Calibri" w:eastAsia="Calibri" w:hAnsi="Calibri" w:cs="Calibri"/>
          <w:b/>
          <w:bCs/>
          <w:sz w:val="25"/>
          <w:szCs w:val="25"/>
        </w:rPr>
        <w:t>A mobile app company plans to deploy its application globally. Explain how CDNs improve performance and reduce latency, how edge servers enhance user experience across regions, how cloud providers support global availability, and relate this to a real-time streaming or gaming application.</w:t>
      </w:r>
    </w:p>
    <w:p w14:paraId="7646E4BF"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1. The Global Latency Problem</w:t>
      </w:r>
    </w:p>
    <w:p w14:paraId="18C25F70" w14:textId="77777777" w:rsidR="004B3116" w:rsidRDefault="00000000">
      <w:pPr>
        <w:spacing w:after="110" w:line="285" w:lineRule="auto"/>
        <w:jc w:val="both"/>
      </w:pPr>
      <w:r>
        <w:rPr>
          <w:rFonts w:ascii="Calibri" w:eastAsia="Calibri" w:hAnsi="Calibri" w:cs="Calibri"/>
          <w:sz w:val="21"/>
          <w:szCs w:val="21"/>
        </w:rPr>
        <w:t>When an application's backend servers are located in only one region, users physically far from that region experience high latency, because every request must travel the full network distance to the origin server and back. For a globally deployed mobile app, this creates inconsistent, often poor, experiences for users outside the home region. Content Delivery Networks (CDNs) and cloud providers' global infrastructure directly address this problem.</w:t>
      </w:r>
    </w:p>
    <w:p w14:paraId="73D3FC77"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2. How CDNs Improve Performance and Reduce Latency</w:t>
      </w:r>
    </w:p>
    <w:p w14:paraId="26894496" w14:textId="77777777" w:rsidR="004B3116" w:rsidRDefault="00000000">
      <w:pPr>
        <w:spacing w:after="110" w:line="285" w:lineRule="auto"/>
        <w:jc w:val="both"/>
      </w:pPr>
      <w:r>
        <w:rPr>
          <w:rFonts w:ascii="Calibri" w:eastAsia="Calibri" w:hAnsi="Calibri" w:cs="Calibri"/>
          <w:sz w:val="21"/>
          <w:szCs w:val="21"/>
        </w:rPr>
        <w:t>A CDN (Cloudflare, Akamai, Amazon CloudFront, Azure CDN) is a globally distributed network of caching servers (Points of Presence, or PoPs) positioned close to end users around the world. Static and semi-static content — images, videos, JavaScript/CSS bundles, API responses that change infrequently — is cached at these PoPs. When a user requests content, the CDN serves it from the nearest edge location rather than the distant origin server, dramatically cutting round-trip time. CDNs also reduce load on the origin server (since most requests are served from cache), improve resilience against traffic spikes and certain DDoS attacks by absorbing traffic at the edge, and use techniques like TCP connection reuse and optimized routing between PoPs to speed up even the requests that must reach the origin.</w:t>
      </w:r>
    </w:p>
    <w:p w14:paraId="7B1902EF"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3. Edge Servers and Regional User Experience</w:t>
      </w:r>
    </w:p>
    <w:p w14:paraId="09927FDE" w14:textId="77777777" w:rsidR="004B3116" w:rsidRDefault="00000000">
      <w:pPr>
        <w:spacing w:after="110" w:line="285" w:lineRule="auto"/>
        <w:jc w:val="both"/>
      </w:pPr>
      <w:r>
        <w:rPr>
          <w:rFonts w:ascii="Calibri" w:eastAsia="Calibri" w:hAnsi="Calibri" w:cs="Calibri"/>
          <w:sz w:val="21"/>
          <w:szCs w:val="21"/>
        </w:rPr>
        <w:t>Edge servers extend this concept further by executing not just caching but also lightweight compute close to the user (edge computing — e.g., Cloudflare Workers, AWS Lambda@Edge, Azure Front Door with edge compute). This allows tasks like authentication checks, request routing, image resizing, or personalization to happen at the edge instead of round-tripping to a central server, cutting latency for dynamic operations as well as static content. For a mobile app with users across continents, this means a user in Tokyo, London, and São Paulo can each interact with logic executing physically close to them, producing consistently fast experience regardless of where the app's primary backend is hosted.</w:t>
      </w:r>
    </w:p>
    <w:p w14:paraId="544010A2"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4. How Cloud Providers Support Global Availability</w:t>
      </w:r>
    </w:p>
    <w:p w14:paraId="38CAFE67"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Multi-region infrastructure:</w:t>
      </w:r>
      <w:r>
        <w:rPr>
          <w:rFonts w:ascii="Calibri" w:eastAsia="Calibri" w:hAnsi="Calibri" w:cs="Calibri"/>
          <w:sz w:val="21"/>
          <w:szCs w:val="21"/>
        </w:rPr>
        <w:t xml:space="preserve"> Providers operate data centers in dozens of geographic regions, each with multiple availability zones, letting a company deploy application instances close to major user populations.</w:t>
      </w:r>
    </w:p>
    <w:p w14:paraId="5E8E904E"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Global load balancing/DNS routing:</w:t>
      </w:r>
      <w:r>
        <w:rPr>
          <w:rFonts w:ascii="Calibri" w:eastAsia="Calibri" w:hAnsi="Calibri" w:cs="Calibri"/>
          <w:sz w:val="21"/>
          <w:szCs w:val="21"/>
        </w:rPr>
        <w:t xml:space="preserve"> Services like AWS Route 53, Azure Traffic Manager, or Google Cloud Load Balancing route each user to the nearest or best-performing regional endpoint automatically based on latency or geography.</w:t>
      </w:r>
    </w:p>
    <w:p w14:paraId="1E42E6D7"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Data replication across regions:</w:t>
      </w:r>
      <w:r>
        <w:rPr>
          <w:rFonts w:ascii="Calibri" w:eastAsia="Calibri" w:hAnsi="Calibri" w:cs="Calibri"/>
          <w:sz w:val="21"/>
          <w:szCs w:val="21"/>
        </w:rPr>
        <w:t xml:space="preserve"> Managed databases (DynamoDB Global Tables, Cosmos DB, Cloud Spanner) replicate data across regions so users everywhere see consistent, up-to-date information with low read latency.</w:t>
      </w:r>
    </w:p>
    <w:p w14:paraId="079E8C2B"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Private backbone networks:</w:t>
      </w:r>
      <w:r>
        <w:rPr>
          <w:rFonts w:ascii="Calibri" w:eastAsia="Calibri" w:hAnsi="Calibri" w:cs="Calibri"/>
          <w:sz w:val="21"/>
          <w:szCs w:val="21"/>
        </w:rPr>
        <w:t xml:space="preserve"> Providers' private global backbone networks connect regions with lower latency and higher reliability than the public internet, speeding up any necessary cross-region traffic.</w:t>
      </w:r>
    </w:p>
    <w:p w14:paraId="6873FABA"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5. Real-Time Streaming/Gaming Example</w:t>
      </w:r>
    </w:p>
    <w:p w14:paraId="446698BF" w14:textId="77777777" w:rsidR="004B3116" w:rsidRDefault="00000000">
      <w:pPr>
        <w:spacing w:after="110" w:line="285" w:lineRule="auto"/>
        <w:jc w:val="both"/>
      </w:pPr>
      <w:r>
        <w:rPr>
          <w:rFonts w:ascii="Calibri" w:eastAsia="Calibri" w:hAnsi="Calibri" w:cs="Calibri"/>
          <w:sz w:val="21"/>
          <w:szCs w:val="21"/>
        </w:rPr>
        <w:lastRenderedPageBreak/>
        <w:t>Consider a real-time multiplayer mobile gaming application or a live video streaming service being launched globally. The game/video assets (textures, video segments, patch files) are distributed via a CDN so every player downloads them from a nearby edge server rather than a single origin, dramatically speeding up load times. For the real-time gameplay or live-stream signaling itself, the provider's global load balancer directs each player/viewer to the nearest regional game server or streaming ingest point, minimizing the network latency that is critical for competitive gaming (where even 50-100ms matters) or for smooth, buffer-free video playback. Edge compute can additionally handle tasks like matchmaking pre-processing or adaptive bitrate decisions close to the user. The combined effect of CDN caching, edge compute, and global load-balanced regional servers is that a player in India and a player in Germany both experience low-latency, high-quality gameplay or streaming, despite the application's core infrastructure being globally distributed rather than centralized in one location.</w:t>
      </w:r>
    </w:p>
    <w:p w14:paraId="2EFEB5CC" w14:textId="77777777" w:rsidR="004B3116" w:rsidRDefault="00000000">
      <w:r>
        <w:br w:type="page"/>
      </w:r>
    </w:p>
    <w:p w14:paraId="7C9127DA" w14:textId="77777777" w:rsidR="004B3116" w:rsidRDefault="00000000">
      <w:pPr>
        <w:shd w:val="clear" w:color="auto" w:fill="DCE6F1"/>
        <w:spacing w:before="80" w:after="180"/>
      </w:pPr>
      <w:r>
        <w:rPr>
          <w:rFonts w:ascii="Calibri" w:eastAsia="Calibri" w:hAnsi="Calibri" w:cs="Calibri"/>
          <w:b/>
          <w:bCs/>
          <w:color w:val="1F4E79"/>
          <w:sz w:val="25"/>
          <w:szCs w:val="25"/>
        </w:rPr>
        <w:lastRenderedPageBreak/>
        <w:t xml:space="preserve">Question 4: </w:t>
      </w:r>
      <w:r>
        <w:rPr>
          <w:rFonts w:ascii="Calibri" w:eastAsia="Calibri" w:hAnsi="Calibri" w:cs="Calibri"/>
          <w:b/>
          <w:bCs/>
          <w:sz w:val="25"/>
          <w:szCs w:val="25"/>
        </w:rPr>
        <w:t>A financial institution requires strict compliance and data security in cloud usage. Explain how cloud providers support regulatory compliance and auditing, the role of logging, monitoring, and encryption in security, how the company can ensure data sovereignty, and an example involving sensitive financial transactions.</w:t>
      </w:r>
    </w:p>
    <w:p w14:paraId="67B2C0BE"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1. Compliance Context for Financial Institutions</w:t>
      </w:r>
    </w:p>
    <w:p w14:paraId="4F991E40" w14:textId="77777777" w:rsidR="004B3116" w:rsidRDefault="00000000">
      <w:pPr>
        <w:spacing w:after="110" w:line="285" w:lineRule="auto"/>
        <w:jc w:val="both"/>
      </w:pPr>
      <w:r>
        <w:rPr>
          <w:rFonts w:ascii="Calibri" w:eastAsia="Calibri" w:hAnsi="Calibri" w:cs="Calibri"/>
          <w:sz w:val="21"/>
          <w:szCs w:val="21"/>
        </w:rPr>
        <w:t>Financial institutions are subject to stringent regulations — PCI-DSS (payment card data), SOX (financial reporting controls), GDPR (EU customer data privacy), and local central-bank/regulator requirements — that govern how sensitive data must be protected, retained, and audited. Adopting public cloud infrastructure does not remove these obligations; instead, the institution and the cloud provider share responsibility (the shared responsibility model), and the provider must offer the tools and certifications that let the institution meet its compliance obligations on top of the underlying infrastructure.</w:t>
      </w:r>
    </w:p>
    <w:p w14:paraId="402A664D"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2. How Cloud Providers Support Compliance and Auditing</w:t>
      </w:r>
    </w:p>
    <w:p w14:paraId="35A364C6"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Compliance certifications:</w:t>
      </w:r>
      <w:r>
        <w:rPr>
          <w:rFonts w:ascii="Calibri" w:eastAsia="Calibri" w:hAnsi="Calibri" w:cs="Calibri"/>
          <w:sz w:val="21"/>
          <w:szCs w:val="21"/>
        </w:rPr>
        <w:t xml:space="preserve"> Major providers (AWS, Azure, GCP) maintain independently audited certifications — ISO 27001, SOC 1/2/3, PCI-DSS Level 1, and region-specific certifications — which the institution can rely on as evidence of the provider's baseline security controls.</w:t>
      </w:r>
    </w:p>
    <w:p w14:paraId="585DE0BC"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Compliance reporting tools:</w:t>
      </w:r>
      <w:r>
        <w:rPr>
          <w:rFonts w:ascii="Calibri" w:eastAsia="Calibri" w:hAnsi="Calibri" w:cs="Calibri"/>
          <w:sz w:val="21"/>
          <w:szCs w:val="21"/>
        </w:rPr>
        <w:t xml:space="preserve"> Services such as AWS Artifact, Azure Compliance Manager, or Google Compliance Reports Manager give the institution direct access to audit reports and compliance documentation needed for its own regulatory examinations.</w:t>
      </w:r>
    </w:p>
    <w:p w14:paraId="24838037" w14:textId="77777777" w:rsidR="004B3116" w:rsidRDefault="00000000">
      <w:pPr>
        <w:pStyle w:val="ListParagraph"/>
        <w:numPr>
          <w:ilvl w:val="0"/>
          <w:numId w:val="2"/>
        </w:numPr>
        <w:spacing w:after="80" w:line="275" w:lineRule="auto"/>
      </w:pPr>
      <w:r>
        <w:rPr>
          <w:rFonts w:ascii="Calibri" w:eastAsia="Calibri" w:hAnsi="Calibri" w:cs="Calibri"/>
          <w:b/>
          <w:bCs/>
          <w:sz w:val="21"/>
          <w:szCs w:val="21"/>
        </w:rPr>
        <w:t>Policy enforcement and configuration management:</w:t>
      </w:r>
      <w:r>
        <w:rPr>
          <w:rFonts w:ascii="Calibri" w:eastAsia="Calibri" w:hAnsi="Calibri" w:cs="Calibri"/>
          <w:sz w:val="21"/>
          <w:szCs w:val="21"/>
        </w:rPr>
        <w:t xml:space="preserve"> Cloud IAM and policy engines (AWS Organizations/Config, Azure Policy) let the institution define and continuously enforce required configurations (e.g., 'no public S3 buckets', 'encryption must be enabled') and automatically flag or remediate violations.</w:t>
      </w:r>
    </w:p>
    <w:p w14:paraId="63DA7161"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3. Role of Logging, Monitoring, and Encryption</w:t>
      </w:r>
    </w:p>
    <w:p w14:paraId="4E3C874E" w14:textId="77777777" w:rsidR="004B3116" w:rsidRDefault="00000000">
      <w:pPr>
        <w:pStyle w:val="Heading2"/>
        <w:spacing w:before="180" w:after="90"/>
      </w:pPr>
      <w:r>
        <w:rPr>
          <w:rFonts w:ascii="Calibri" w:eastAsia="Calibri" w:hAnsi="Calibri" w:cs="Calibri"/>
          <w:b/>
          <w:bCs/>
          <w:color w:val="1F4E79"/>
          <w:sz w:val="23"/>
          <w:szCs w:val="23"/>
        </w:rPr>
        <w:t>3.1 Logging and Monitoring</w:t>
      </w:r>
    </w:p>
    <w:p w14:paraId="031F98DA" w14:textId="77777777" w:rsidR="004B3116" w:rsidRDefault="00000000">
      <w:pPr>
        <w:spacing w:after="110" w:line="285" w:lineRule="auto"/>
        <w:jc w:val="both"/>
      </w:pPr>
      <w:r>
        <w:rPr>
          <w:rFonts w:ascii="Calibri" w:eastAsia="Calibri" w:hAnsi="Calibri" w:cs="Calibri"/>
          <w:sz w:val="21"/>
          <w:szCs w:val="21"/>
        </w:rPr>
        <w:t>Comprehensive audit logging (AWS CloudTrail, Azure Monitor/Activity Log, GCP Cloud Audit Logs) records every API call and administrative action — who accessed what data, when, and from where — creating an immutable audit trail required for regulatory examinations and forensic investigation after any incident. Continuous monitoring and Security Information and Event Management (SIEM) integration allow real-time detection of anomalous behavior, such as an unusual volume of transaction-record access or access from an unrecognized location, triggering automated alerts or account lockdown.</w:t>
      </w:r>
    </w:p>
    <w:p w14:paraId="6E378AAE" w14:textId="77777777" w:rsidR="004B3116" w:rsidRDefault="00000000">
      <w:pPr>
        <w:pStyle w:val="Heading2"/>
        <w:spacing w:before="180" w:after="90"/>
      </w:pPr>
      <w:r>
        <w:rPr>
          <w:rFonts w:ascii="Calibri" w:eastAsia="Calibri" w:hAnsi="Calibri" w:cs="Calibri"/>
          <w:b/>
          <w:bCs/>
          <w:color w:val="1F4E79"/>
          <w:sz w:val="23"/>
          <w:szCs w:val="23"/>
        </w:rPr>
        <w:t>3.2 Encryption</w:t>
      </w:r>
    </w:p>
    <w:p w14:paraId="63D02AD9" w14:textId="77777777" w:rsidR="004B3116" w:rsidRDefault="00000000">
      <w:pPr>
        <w:spacing w:after="110" w:line="285" w:lineRule="auto"/>
        <w:jc w:val="both"/>
      </w:pPr>
      <w:r>
        <w:rPr>
          <w:rFonts w:ascii="Calibri" w:eastAsia="Calibri" w:hAnsi="Calibri" w:cs="Calibri"/>
          <w:sz w:val="21"/>
          <w:szCs w:val="21"/>
        </w:rPr>
        <w:t>Encryption at rest (AES-256, ideally with customer-managed keys in a dedicated KMS/HSM) and in transit (TLS 1.2+) ensures that even if underlying storage or network traffic were somehow intercepted, transaction data and customer financial details remain unreadable without the proper keys. Field-level or tokenization approaches can additionally protect the most sensitive elements (e.g., card numbers) so that even application logs never contain raw sensitive values.</w:t>
      </w:r>
    </w:p>
    <w:p w14:paraId="4408BE7E"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4. Ensuring Data Sovereignty</w:t>
      </w:r>
    </w:p>
    <w:p w14:paraId="1E80C4B0" w14:textId="77777777" w:rsidR="004B3116" w:rsidRDefault="00000000">
      <w:pPr>
        <w:spacing w:after="110" w:line="285" w:lineRule="auto"/>
        <w:jc w:val="both"/>
      </w:pPr>
      <w:r>
        <w:rPr>
          <w:rFonts w:ascii="Calibri" w:eastAsia="Calibri" w:hAnsi="Calibri" w:cs="Calibri"/>
          <w:sz w:val="21"/>
          <w:szCs w:val="21"/>
        </w:rPr>
        <w:lastRenderedPageBreak/>
        <w:t>Data sovereignty requires that certain data remain within specific national or regional borders and be governed by that jurisdiction's laws. Cloud providers support this by allowing the institution to explicitly select the region(s) where data is stored and processed, offering region-locked services and, in some jurisdictions, dedicated sovereign cloud offerings (e.g., a Europe-only or India-only region) with contractual guarantees that data will not be replicated or processed outside the chosen boundary. The institution must also configure backup, disaster-recovery, and CDN/caching layers carefully, since these can inadvertently move data across borders if not explicitly restricted, and should use contractual Data Processing Agreements with the provider that specify jurisdiction, sub-processor locations, and government-access-request handling procedures.</w:t>
      </w:r>
    </w:p>
    <w:p w14:paraId="4D065067"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5. Example: Sensitive Financial Transaction Processing</w:t>
      </w:r>
    </w:p>
    <w:p w14:paraId="06476FAA" w14:textId="77777777" w:rsidR="004B3116" w:rsidRDefault="00000000">
      <w:pPr>
        <w:spacing w:after="110" w:line="285" w:lineRule="auto"/>
        <w:jc w:val="both"/>
      </w:pPr>
      <w:r>
        <w:rPr>
          <w:rFonts w:ascii="Calibri" w:eastAsia="Calibri" w:hAnsi="Calibri" w:cs="Calibri"/>
          <w:sz w:val="21"/>
          <w:szCs w:val="21"/>
        </w:rPr>
        <w:t>Consider a bank processing real-time card payment transactions through a cloud-hosted payment gateway. Transaction data is encrypted in transit via TLS as it moves from point-of-sale to the gateway, and at rest using customer-managed encryption keys stored in the provider's HSM-backed key management service. Every access to the transaction database is captured by cloud audit logging and monitored continuously for anomalies, satisfying PCI-DSS's mandatory logging and monitoring requirements. The transaction database and its backups are pinned to region(s) permitted under the bank's national banking regulations, ensuring data sovereignty. If regulators require an audit, the bank can produce both its own access logs and the cloud provider's independently certified compliance reports (e.g., PCI-DSS Attestation of Compliance) as evidence that the entire processing chain met required security and regulatory standards.</w:t>
      </w:r>
    </w:p>
    <w:p w14:paraId="7D9383FA" w14:textId="77777777" w:rsidR="004B3116" w:rsidRDefault="00000000">
      <w:r>
        <w:br w:type="page"/>
      </w:r>
    </w:p>
    <w:p w14:paraId="1F3B0901" w14:textId="77777777" w:rsidR="004B3116" w:rsidRDefault="00000000">
      <w:pPr>
        <w:shd w:val="clear" w:color="auto" w:fill="DCE6F1"/>
        <w:spacing w:before="80" w:after="180"/>
      </w:pPr>
      <w:r>
        <w:rPr>
          <w:rFonts w:ascii="Calibri" w:eastAsia="Calibri" w:hAnsi="Calibri" w:cs="Calibri"/>
          <w:b/>
          <w:bCs/>
          <w:color w:val="1F4E79"/>
          <w:sz w:val="25"/>
          <w:szCs w:val="25"/>
        </w:rPr>
        <w:lastRenderedPageBreak/>
        <w:t xml:space="preserve">Question 5: </w:t>
      </w:r>
      <w:r>
        <w:rPr>
          <w:rFonts w:ascii="Calibri" w:eastAsia="Calibri" w:hAnsi="Calibri" w:cs="Calibri"/>
          <w:b/>
          <w:bCs/>
          <w:sz w:val="25"/>
          <w:szCs w:val="25"/>
        </w:rPr>
        <w:t>A development team wants to adopt containerization for application deployment. Explain how containers differ from virtual machines in performance and resource usage, how orchestration (like Kubernetes) simplifies deployment and scaling, portability benefits across cloud environments, and an example of a microservices-based application.</w:t>
      </w:r>
    </w:p>
    <w:p w14:paraId="36D53684"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1. Containers vs. Virtual Machines</w:t>
      </w:r>
    </w:p>
    <w:p w14:paraId="2C9946E9" w14:textId="77777777" w:rsidR="004B3116" w:rsidRDefault="00000000">
      <w:pPr>
        <w:spacing w:after="110" w:line="285" w:lineRule="auto"/>
        <w:jc w:val="both"/>
      </w:pPr>
      <w:r>
        <w:rPr>
          <w:rFonts w:ascii="Calibri" w:eastAsia="Calibri" w:hAnsi="Calibri" w:cs="Calibri"/>
          <w:sz w:val="21"/>
          <w:szCs w:val="21"/>
        </w:rPr>
        <w:t>A virtual machine virtualizes hardware, running a complete guest operating system (kernel, drivers, libraries) on top of a hypervisor, making each VM relatively heavyweight (gigabytes in size, minutes to boot). A container, by contrast, virtualizes at the operating system level: containers share the host OS kernel and package only the application and its dependencies (libraries, runtime, configuration) using technologies such as Linux namespaces (for isolation) and cgroups (for resource limits), managed by a container engine like Docker or containerd.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300"/>
      </w:tblGrid>
      <w:tr w:rsidR="004B3116" w14:paraId="0EABFC90" w14:textId="77777777">
        <w:trPr>
          <w:tblHeader/>
        </w:trPr>
        <w:tc>
          <w:tcPr>
            <w:tcW w:w="2600" w:type="dxa"/>
            <w:shd w:val="clear" w:color="auto" w:fill="1F4E79"/>
            <w:tcMar>
              <w:top w:w="70" w:type="dxa"/>
              <w:left w:w="90" w:type="dxa"/>
              <w:bottom w:w="70" w:type="dxa"/>
              <w:right w:w="90" w:type="dxa"/>
            </w:tcMar>
          </w:tcPr>
          <w:p w14:paraId="0F423423" w14:textId="77777777" w:rsidR="004B3116" w:rsidRDefault="00000000">
            <w:r>
              <w:rPr>
                <w:rFonts w:ascii="Calibri" w:eastAsia="Calibri" w:hAnsi="Calibri" w:cs="Calibri"/>
                <w:b/>
                <w:bCs/>
                <w:color w:val="FFFFFF"/>
                <w:sz w:val="19"/>
                <w:szCs w:val="19"/>
              </w:rPr>
              <w:t>Aspect</w:t>
            </w:r>
          </w:p>
        </w:tc>
        <w:tc>
          <w:tcPr>
            <w:tcW w:w="3300" w:type="dxa"/>
            <w:shd w:val="clear" w:color="auto" w:fill="1F4E79"/>
            <w:tcMar>
              <w:top w:w="70" w:type="dxa"/>
              <w:left w:w="90" w:type="dxa"/>
              <w:bottom w:w="70" w:type="dxa"/>
              <w:right w:w="90" w:type="dxa"/>
            </w:tcMar>
          </w:tcPr>
          <w:p w14:paraId="79D6CDDF" w14:textId="77777777" w:rsidR="004B3116" w:rsidRDefault="00000000">
            <w:r>
              <w:rPr>
                <w:rFonts w:ascii="Calibri" w:eastAsia="Calibri" w:hAnsi="Calibri" w:cs="Calibri"/>
                <w:b/>
                <w:bCs/>
                <w:color w:val="FFFFFF"/>
                <w:sz w:val="19"/>
                <w:szCs w:val="19"/>
              </w:rPr>
              <w:t>Virtual Machine</w:t>
            </w:r>
          </w:p>
        </w:tc>
        <w:tc>
          <w:tcPr>
            <w:tcW w:w="3300" w:type="dxa"/>
            <w:shd w:val="clear" w:color="auto" w:fill="1F4E79"/>
            <w:tcMar>
              <w:top w:w="70" w:type="dxa"/>
              <w:left w:w="90" w:type="dxa"/>
              <w:bottom w:w="70" w:type="dxa"/>
              <w:right w:w="90" w:type="dxa"/>
            </w:tcMar>
          </w:tcPr>
          <w:p w14:paraId="40A4D5D4" w14:textId="77777777" w:rsidR="004B3116" w:rsidRDefault="00000000">
            <w:r>
              <w:rPr>
                <w:rFonts w:ascii="Calibri" w:eastAsia="Calibri" w:hAnsi="Calibri" w:cs="Calibri"/>
                <w:b/>
                <w:bCs/>
                <w:color w:val="FFFFFF"/>
                <w:sz w:val="19"/>
                <w:szCs w:val="19"/>
              </w:rPr>
              <w:t>Container</w:t>
            </w:r>
          </w:p>
        </w:tc>
      </w:tr>
      <w:tr w:rsidR="004B3116" w14:paraId="1BEF2921" w14:textId="77777777">
        <w:tc>
          <w:tcPr>
            <w:tcW w:w="2600" w:type="dxa"/>
            <w:shd w:val="clear" w:color="auto" w:fill="F2F6FA"/>
            <w:tcMar>
              <w:top w:w="60" w:type="dxa"/>
              <w:left w:w="90" w:type="dxa"/>
              <w:bottom w:w="60" w:type="dxa"/>
              <w:right w:w="90" w:type="dxa"/>
            </w:tcMar>
          </w:tcPr>
          <w:p w14:paraId="7704CBEB" w14:textId="77777777" w:rsidR="004B3116" w:rsidRDefault="00000000">
            <w:r>
              <w:rPr>
                <w:rFonts w:ascii="Calibri" w:eastAsia="Calibri" w:hAnsi="Calibri" w:cs="Calibri"/>
                <w:sz w:val="19"/>
                <w:szCs w:val="19"/>
              </w:rPr>
              <w:t>Boot time</w:t>
            </w:r>
          </w:p>
        </w:tc>
        <w:tc>
          <w:tcPr>
            <w:tcW w:w="3300" w:type="dxa"/>
            <w:shd w:val="clear" w:color="auto" w:fill="F2F6FA"/>
            <w:tcMar>
              <w:top w:w="60" w:type="dxa"/>
              <w:left w:w="90" w:type="dxa"/>
              <w:bottom w:w="60" w:type="dxa"/>
              <w:right w:w="90" w:type="dxa"/>
            </w:tcMar>
          </w:tcPr>
          <w:p w14:paraId="0E0FEBA3" w14:textId="77777777" w:rsidR="004B3116" w:rsidRDefault="00000000">
            <w:r>
              <w:rPr>
                <w:rFonts w:ascii="Calibri" w:eastAsia="Calibri" w:hAnsi="Calibri" w:cs="Calibri"/>
                <w:sz w:val="19"/>
                <w:szCs w:val="19"/>
              </w:rPr>
              <w:t>Minutes (full OS boot)</w:t>
            </w:r>
          </w:p>
        </w:tc>
        <w:tc>
          <w:tcPr>
            <w:tcW w:w="3300" w:type="dxa"/>
            <w:shd w:val="clear" w:color="auto" w:fill="F2F6FA"/>
            <w:tcMar>
              <w:top w:w="60" w:type="dxa"/>
              <w:left w:w="90" w:type="dxa"/>
              <w:bottom w:w="60" w:type="dxa"/>
              <w:right w:w="90" w:type="dxa"/>
            </w:tcMar>
          </w:tcPr>
          <w:p w14:paraId="13CF8A09" w14:textId="77777777" w:rsidR="004B3116" w:rsidRDefault="00000000">
            <w:r>
              <w:rPr>
                <w:rFonts w:ascii="Calibri" w:eastAsia="Calibri" w:hAnsi="Calibri" w:cs="Calibri"/>
                <w:sz w:val="19"/>
                <w:szCs w:val="19"/>
              </w:rPr>
              <w:t>Seconds or less (process start)</w:t>
            </w:r>
          </w:p>
        </w:tc>
      </w:tr>
      <w:tr w:rsidR="004B3116" w14:paraId="58A938F5" w14:textId="77777777">
        <w:tc>
          <w:tcPr>
            <w:tcW w:w="2600" w:type="dxa"/>
            <w:shd w:val="clear" w:color="auto" w:fill="FFFFFF"/>
            <w:tcMar>
              <w:top w:w="60" w:type="dxa"/>
              <w:left w:w="90" w:type="dxa"/>
              <w:bottom w:w="60" w:type="dxa"/>
              <w:right w:w="90" w:type="dxa"/>
            </w:tcMar>
          </w:tcPr>
          <w:p w14:paraId="410990C2" w14:textId="77777777" w:rsidR="004B3116" w:rsidRDefault="00000000">
            <w:r>
              <w:rPr>
                <w:rFonts w:ascii="Calibri" w:eastAsia="Calibri" w:hAnsi="Calibri" w:cs="Calibri"/>
                <w:sz w:val="19"/>
                <w:szCs w:val="19"/>
              </w:rPr>
              <w:t>Image size</w:t>
            </w:r>
          </w:p>
        </w:tc>
        <w:tc>
          <w:tcPr>
            <w:tcW w:w="3300" w:type="dxa"/>
            <w:shd w:val="clear" w:color="auto" w:fill="FFFFFF"/>
            <w:tcMar>
              <w:top w:w="60" w:type="dxa"/>
              <w:left w:w="90" w:type="dxa"/>
              <w:bottom w:w="60" w:type="dxa"/>
              <w:right w:w="90" w:type="dxa"/>
            </w:tcMar>
          </w:tcPr>
          <w:p w14:paraId="27033E0A" w14:textId="77777777" w:rsidR="004B3116" w:rsidRDefault="00000000">
            <w:r>
              <w:rPr>
                <w:rFonts w:ascii="Calibri" w:eastAsia="Calibri" w:hAnsi="Calibri" w:cs="Calibri"/>
                <w:sz w:val="19"/>
                <w:szCs w:val="19"/>
              </w:rPr>
              <w:t>Gigabytes (full OS included)</w:t>
            </w:r>
          </w:p>
        </w:tc>
        <w:tc>
          <w:tcPr>
            <w:tcW w:w="3300" w:type="dxa"/>
            <w:shd w:val="clear" w:color="auto" w:fill="FFFFFF"/>
            <w:tcMar>
              <w:top w:w="60" w:type="dxa"/>
              <w:left w:w="90" w:type="dxa"/>
              <w:bottom w:w="60" w:type="dxa"/>
              <w:right w:w="90" w:type="dxa"/>
            </w:tcMar>
          </w:tcPr>
          <w:p w14:paraId="426FDE20" w14:textId="77777777" w:rsidR="004B3116" w:rsidRDefault="00000000">
            <w:r>
              <w:rPr>
                <w:rFonts w:ascii="Calibri" w:eastAsia="Calibri" w:hAnsi="Calibri" w:cs="Calibri"/>
                <w:sz w:val="19"/>
                <w:szCs w:val="19"/>
              </w:rPr>
              <w:t>Megabytes (app + dependencies only)</w:t>
            </w:r>
          </w:p>
        </w:tc>
      </w:tr>
      <w:tr w:rsidR="004B3116" w14:paraId="0D1DBF74" w14:textId="77777777">
        <w:tc>
          <w:tcPr>
            <w:tcW w:w="2600" w:type="dxa"/>
            <w:shd w:val="clear" w:color="auto" w:fill="F2F6FA"/>
            <w:tcMar>
              <w:top w:w="60" w:type="dxa"/>
              <w:left w:w="90" w:type="dxa"/>
              <w:bottom w:w="60" w:type="dxa"/>
              <w:right w:w="90" w:type="dxa"/>
            </w:tcMar>
          </w:tcPr>
          <w:p w14:paraId="6EFAE5D8" w14:textId="77777777" w:rsidR="004B3116" w:rsidRDefault="00000000">
            <w:r>
              <w:rPr>
                <w:rFonts w:ascii="Calibri" w:eastAsia="Calibri" w:hAnsi="Calibri" w:cs="Calibri"/>
                <w:sz w:val="19"/>
                <w:szCs w:val="19"/>
              </w:rPr>
              <w:t>Resource overhead</w:t>
            </w:r>
          </w:p>
        </w:tc>
        <w:tc>
          <w:tcPr>
            <w:tcW w:w="3300" w:type="dxa"/>
            <w:shd w:val="clear" w:color="auto" w:fill="F2F6FA"/>
            <w:tcMar>
              <w:top w:w="60" w:type="dxa"/>
              <w:left w:w="90" w:type="dxa"/>
              <w:bottom w:w="60" w:type="dxa"/>
              <w:right w:w="90" w:type="dxa"/>
            </w:tcMar>
          </w:tcPr>
          <w:p w14:paraId="2A507D51" w14:textId="77777777" w:rsidR="004B3116" w:rsidRDefault="00000000">
            <w:r>
              <w:rPr>
                <w:rFonts w:ascii="Calibri" w:eastAsia="Calibri" w:hAnsi="Calibri" w:cs="Calibri"/>
                <w:sz w:val="19"/>
                <w:szCs w:val="19"/>
              </w:rPr>
              <w:t>Higher; each VM runs its own kernel</w:t>
            </w:r>
          </w:p>
        </w:tc>
        <w:tc>
          <w:tcPr>
            <w:tcW w:w="3300" w:type="dxa"/>
            <w:shd w:val="clear" w:color="auto" w:fill="F2F6FA"/>
            <w:tcMar>
              <w:top w:w="60" w:type="dxa"/>
              <w:left w:w="90" w:type="dxa"/>
              <w:bottom w:w="60" w:type="dxa"/>
              <w:right w:w="90" w:type="dxa"/>
            </w:tcMar>
          </w:tcPr>
          <w:p w14:paraId="6CE44AFD" w14:textId="77777777" w:rsidR="004B3116" w:rsidRDefault="00000000">
            <w:r>
              <w:rPr>
                <w:rFonts w:ascii="Calibri" w:eastAsia="Calibri" w:hAnsi="Calibri" w:cs="Calibri"/>
                <w:sz w:val="19"/>
                <w:szCs w:val="19"/>
              </w:rPr>
              <w:t>Lower; kernel shared across containers</w:t>
            </w:r>
          </w:p>
        </w:tc>
      </w:tr>
      <w:tr w:rsidR="004B3116" w14:paraId="4352106B" w14:textId="77777777">
        <w:tc>
          <w:tcPr>
            <w:tcW w:w="2600" w:type="dxa"/>
            <w:shd w:val="clear" w:color="auto" w:fill="FFFFFF"/>
            <w:tcMar>
              <w:top w:w="60" w:type="dxa"/>
              <w:left w:w="90" w:type="dxa"/>
              <w:bottom w:w="60" w:type="dxa"/>
              <w:right w:w="90" w:type="dxa"/>
            </w:tcMar>
          </w:tcPr>
          <w:p w14:paraId="49467C36" w14:textId="77777777" w:rsidR="004B3116" w:rsidRDefault="00000000">
            <w:r>
              <w:rPr>
                <w:rFonts w:ascii="Calibri" w:eastAsia="Calibri" w:hAnsi="Calibri" w:cs="Calibri"/>
                <w:sz w:val="19"/>
                <w:szCs w:val="19"/>
              </w:rPr>
              <w:t>Density per host</w:t>
            </w:r>
          </w:p>
        </w:tc>
        <w:tc>
          <w:tcPr>
            <w:tcW w:w="3300" w:type="dxa"/>
            <w:shd w:val="clear" w:color="auto" w:fill="FFFFFF"/>
            <w:tcMar>
              <w:top w:w="60" w:type="dxa"/>
              <w:left w:w="90" w:type="dxa"/>
              <w:bottom w:w="60" w:type="dxa"/>
              <w:right w:w="90" w:type="dxa"/>
            </w:tcMar>
          </w:tcPr>
          <w:p w14:paraId="301810DD" w14:textId="77777777" w:rsidR="004B3116" w:rsidRDefault="00000000">
            <w:r>
              <w:rPr>
                <w:rFonts w:ascii="Calibri" w:eastAsia="Calibri" w:hAnsi="Calibri" w:cs="Calibri"/>
                <w:sz w:val="19"/>
                <w:szCs w:val="19"/>
              </w:rPr>
              <w:t>Tens of VMs typically</w:t>
            </w:r>
          </w:p>
        </w:tc>
        <w:tc>
          <w:tcPr>
            <w:tcW w:w="3300" w:type="dxa"/>
            <w:shd w:val="clear" w:color="auto" w:fill="FFFFFF"/>
            <w:tcMar>
              <w:top w:w="60" w:type="dxa"/>
              <w:left w:w="90" w:type="dxa"/>
              <w:bottom w:w="60" w:type="dxa"/>
              <w:right w:w="90" w:type="dxa"/>
            </w:tcMar>
          </w:tcPr>
          <w:p w14:paraId="264BC1AF" w14:textId="77777777" w:rsidR="004B3116" w:rsidRDefault="00000000">
            <w:r>
              <w:rPr>
                <w:rFonts w:ascii="Calibri" w:eastAsia="Calibri" w:hAnsi="Calibri" w:cs="Calibri"/>
                <w:sz w:val="19"/>
                <w:szCs w:val="19"/>
              </w:rPr>
              <w:t>Hundreds of containers typically</w:t>
            </w:r>
          </w:p>
        </w:tc>
      </w:tr>
      <w:tr w:rsidR="004B3116" w14:paraId="4BE140AD" w14:textId="77777777">
        <w:tc>
          <w:tcPr>
            <w:tcW w:w="2600" w:type="dxa"/>
            <w:shd w:val="clear" w:color="auto" w:fill="F2F6FA"/>
            <w:tcMar>
              <w:top w:w="60" w:type="dxa"/>
              <w:left w:w="90" w:type="dxa"/>
              <w:bottom w:w="60" w:type="dxa"/>
              <w:right w:w="90" w:type="dxa"/>
            </w:tcMar>
          </w:tcPr>
          <w:p w14:paraId="3E4CBB67" w14:textId="77777777" w:rsidR="004B3116" w:rsidRDefault="00000000">
            <w:r>
              <w:rPr>
                <w:rFonts w:ascii="Calibri" w:eastAsia="Calibri" w:hAnsi="Calibri" w:cs="Calibri"/>
                <w:sz w:val="19"/>
                <w:szCs w:val="19"/>
              </w:rPr>
              <w:t>Isolation strength</w:t>
            </w:r>
          </w:p>
        </w:tc>
        <w:tc>
          <w:tcPr>
            <w:tcW w:w="3300" w:type="dxa"/>
            <w:shd w:val="clear" w:color="auto" w:fill="F2F6FA"/>
            <w:tcMar>
              <w:top w:w="60" w:type="dxa"/>
              <w:left w:w="90" w:type="dxa"/>
              <w:bottom w:w="60" w:type="dxa"/>
              <w:right w:w="90" w:type="dxa"/>
            </w:tcMar>
          </w:tcPr>
          <w:p w14:paraId="20BE32CA" w14:textId="77777777" w:rsidR="004B3116" w:rsidRDefault="00000000">
            <w:r>
              <w:rPr>
                <w:rFonts w:ascii="Calibri" w:eastAsia="Calibri" w:hAnsi="Calibri" w:cs="Calibri"/>
                <w:sz w:val="19"/>
                <w:szCs w:val="19"/>
              </w:rPr>
              <w:t>Strong (hardware-level via hypervisor)</w:t>
            </w:r>
          </w:p>
        </w:tc>
        <w:tc>
          <w:tcPr>
            <w:tcW w:w="3300" w:type="dxa"/>
            <w:shd w:val="clear" w:color="auto" w:fill="F2F6FA"/>
            <w:tcMar>
              <w:top w:w="60" w:type="dxa"/>
              <w:left w:w="90" w:type="dxa"/>
              <w:bottom w:w="60" w:type="dxa"/>
              <w:right w:w="90" w:type="dxa"/>
            </w:tcMar>
          </w:tcPr>
          <w:p w14:paraId="3BAF3717" w14:textId="77777777" w:rsidR="004B3116" w:rsidRDefault="00000000">
            <w:r>
              <w:rPr>
                <w:rFonts w:ascii="Calibri" w:eastAsia="Calibri" w:hAnsi="Calibri" w:cs="Calibri"/>
                <w:sz w:val="19"/>
                <w:szCs w:val="19"/>
              </w:rPr>
              <w:t>Process-level (weaker than VM, still effective)</w:t>
            </w:r>
          </w:p>
        </w:tc>
      </w:tr>
    </w:tbl>
    <w:p w14:paraId="1B7B0617" w14:textId="77777777" w:rsidR="004B3116" w:rsidRDefault="00000000">
      <w:pPr>
        <w:spacing w:after="110" w:line="285" w:lineRule="auto"/>
        <w:jc w:val="both"/>
      </w:pPr>
      <w:r>
        <w:rPr>
          <w:rFonts w:ascii="Calibri" w:eastAsia="Calibri" w:hAnsi="Calibri" w:cs="Calibri"/>
          <w:sz w:val="21"/>
          <w:szCs w:val="21"/>
        </w:rPr>
        <w:t>This lighter weight makes containers ideal for microservices architectures, where an application is decomposed into many small, independently deployable services — spinning up dozens or hundreds of lightweight containers is far more practical than doing the same with full VMs.</w:t>
      </w:r>
    </w:p>
    <w:p w14:paraId="59A560A5"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2. How Kubernetes Simplifies Deployment and Scaling</w:t>
      </w:r>
    </w:p>
    <w:p w14:paraId="38796DF0" w14:textId="77777777" w:rsidR="004B3116" w:rsidRDefault="00000000">
      <w:pPr>
        <w:spacing w:after="110" w:line="285" w:lineRule="auto"/>
        <w:jc w:val="both"/>
      </w:pPr>
      <w:r>
        <w:rPr>
          <w:rFonts w:ascii="Calibri" w:eastAsia="Calibri" w:hAnsi="Calibri" w:cs="Calibri"/>
          <w:sz w:val="21"/>
          <w:szCs w:val="21"/>
        </w:rPr>
        <w:t>As the number of containers grows, manually starting, networking, and monitoring them becomes unmanageable — this is the problem container orchestration solves. Kubernetes automates: scheduling (placing containers/pods onto appropriate nodes based on resource availability), self-healing (automatically restarting failed containers or rescheduling them onto healthy nodes), horizontal scaling (automatically adding/removing pod replicas based on CPU/custom metrics via the Horizontal Pod Autoscaler), service discovery and load balancing (routing traffic to the correct, currently-healthy pod replicas), and rolling updates/rollbacks (deploying new application versions gradually with zero downtime, and reverting automatically if health checks fail). This transforms deployment from a manual, error-prone process into a declarative, automated workflow where the team simply describes the desired state and Kubernetes continuously works to maintain it.</w:t>
      </w:r>
    </w:p>
    <w:p w14:paraId="257B5B6B"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t>3. Portability Benefits Across Cloud Environments</w:t>
      </w:r>
    </w:p>
    <w:p w14:paraId="086ED970" w14:textId="77777777" w:rsidR="004B3116" w:rsidRDefault="00000000">
      <w:pPr>
        <w:spacing w:after="110" w:line="285" w:lineRule="auto"/>
        <w:jc w:val="both"/>
      </w:pPr>
      <w:r>
        <w:rPr>
          <w:rFonts w:ascii="Calibri" w:eastAsia="Calibri" w:hAnsi="Calibri" w:cs="Calibri"/>
          <w:sz w:val="21"/>
          <w:szCs w:val="21"/>
        </w:rPr>
        <w:t>Because a container packages the application with all its dependencies into a single, standardized image (built to the OCI — Open Container Initiative — format), that same image runs identically on a developer's laptop, an on-premises server, or any major cloud provider's Kubernetes service (Amazon EKS, Azure AKS, Google GKE), eliminating the 'it works on my machine' problem and avoiding vendor lock-in. This portability lets a team develop locally, test in a staging cloud environment, and deploy to production — or even migrate between cloud providers or adopt a multi-cloud/hybrid-cloud strategy — with minimal rework, since Kubernetes itself provides a consistent orchestration API regardless of the underlying infrastructure provider.</w:t>
      </w:r>
    </w:p>
    <w:p w14:paraId="1F984EB1" w14:textId="77777777" w:rsidR="004B3116" w:rsidRDefault="00000000">
      <w:pPr>
        <w:pStyle w:val="Heading1"/>
        <w:pBdr>
          <w:bottom w:val="single" w:sz="6" w:space="4" w:color="1F4E79"/>
        </w:pBdr>
        <w:spacing w:before="260" w:after="130"/>
      </w:pPr>
      <w:r>
        <w:rPr>
          <w:rFonts w:ascii="Calibri" w:eastAsia="Calibri" w:hAnsi="Calibri" w:cs="Calibri"/>
          <w:b/>
          <w:bCs/>
          <w:color w:val="1F4E79"/>
          <w:sz w:val="28"/>
          <w:szCs w:val="28"/>
        </w:rPr>
        <w:lastRenderedPageBreak/>
        <w:t>4. Example: Microservices-Based Application</w:t>
      </w:r>
    </w:p>
    <w:p w14:paraId="310FAE33" w14:textId="77777777" w:rsidR="004B3116" w:rsidRDefault="00000000">
      <w:pPr>
        <w:spacing w:after="110" w:line="285" w:lineRule="auto"/>
        <w:jc w:val="both"/>
      </w:pPr>
      <w:r>
        <w:rPr>
          <w:rFonts w:ascii="Calibri" w:eastAsia="Calibri" w:hAnsi="Calibri" w:cs="Calibri"/>
          <w:sz w:val="21"/>
          <w:szCs w:val="21"/>
        </w:rPr>
        <w:t>Consider an online food-delivery platform built as a microservices application: separate services handle user authentication, restaurant catalog browsing, order placement, payment processing, delivery-partner tracking, and notifications — each packaged as its own container image. Kubernetes deploys each service as an independently scalable set of pods: during lunch and dinner rush hours, the order-placement and payment services can be scaled up independently of the less-loaded notification service, based on real-time demand. If the payment service crashes, Kubernetes automatically restarts it without affecting the other services, and a new version of the delivery-tracking service can be rolled out gradually with automatic rollback if errors are detected — all while the entire container-based stack remains portable enough to run on any major cloud provider or be migrated between them as the company's infrastructure needs evolve.</w:t>
      </w:r>
    </w:p>
    <w:sectPr w:rsidR="004B311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24765" w14:textId="77777777" w:rsidR="002D7202" w:rsidRDefault="002D7202">
      <w:r>
        <w:separator/>
      </w:r>
    </w:p>
  </w:endnote>
  <w:endnote w:type="continuationSeparator" w:id="0">
    <w:p w14:paraId="12B6B813" w14:textId="77777777" w:rsidR="002D7202" w:rsidRDefault="002D7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A44F" w14:textId="77777777" w:rsidR="004B3116"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EE7391">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82CBF" w14:textId="77777777" w:rsidR="002D7202" w:rsidRDefault="002D7202">
      <w:r>
        <w:separator/>
      </w:r>
    </w:p>
  </w:footnote>
  <w:footnote w:type="continuationSeparator" w:id="0">
    <w:p w14:paraId="6D3E599D" w14:textId="77777777" w:rsidR="002D7202" w:rsidRDefault="002D7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30D3" w14:textId="77777777" w:rsidR="004B3116" w:rsidRDefault="00000000">
    <w:pPr>
      <w:pBdr>
        <w:bottom w:val="single" w:sz="4" w:space="2" w:color="AAAAAA"/>
      </w:pBdr>
      <w:jc w:val="right"/>
    </w:pPr>
    <w:r>
      <w:rPr>
        <w:rFonts w:ascii="Calibri" w:eastAsia="Calibri" w:hAnsi="Calibri" w:cs="Calibri"/>
        <w:color w:val="888888"/>
        <w:sz w:val="16"/>
        <w:szCs w:val="16"/>
      </w:rPr>
      <w:t>Application Based Questions —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6AB8"/>
    <w:multiLevelType w:val="hybridMultilevel"/>
    <w:tmpl w:val="CEFC2880"/>
    <w:lvl w:ilvl="0" w:tplc="44A6FB4C">
      <w:start w:val="1"/>
      <w:numFmt w:val="bullet"/>
      <w:lvlText w:val="•"/>
      <w:lvlJc w:val="left"/>
      <w:pPr>
        <w:ind w:left="460" w:hanging="260"/>
      </w:pPr>
    </w:lvl>
    <w:lvl w:ilvl="1" w:tplc="5C102FC2">
      <w:numFmt w:val="decimal"/>
      <w:lvlText w:val=""/>
      <w:lvlJc w:val="left"/>
    </w:lvl>
    <w:lvl w:ilvl="2" w:tplc="9C5AD7F8">
      <w:numFmt w:val="decimal"/>
      <w:lvlText w:val=""/>
      <w:lvlJc w:val="left"/>
    </w:lvl>
    <w:lvl w:ilvl="3" w:tplc="DDC2DB16">
      <w:numFmt w:val="decimal"/>
      <w:lvlText w:val=""/>
      <w:lvlJc w:val="left"/>
    </w:lvl>
    <w:lvl w:ilvl="4" w:tplc="6B68064C">
      <w:numFmt w:val="decimal"/>
      <w:lvlText w:val=""/>
      <w:lvlJc w:val="left"/>
    </w:lvl>
    <w:lvl w:ilvl="5" w:tplc="CB9CAE4A">
      <w:numFmt w:val="decimal"/>
      <w:lvlText w:val=""/>
      <w:lvlJc w:val="left"/>
    </w:lvl>
    <w:lvl w:ilvl="6" w:tplc="F42035FE">
      <w:numFmt w:val="decimal"/>
      <w:lvlText w:val=""/>
      <w:lvlJc w:val="left"/>
    </w:lvl>
    <w:lvl w:ilvl="7" w:tplc="D456A5B6">
      <w:numFmt w:val="decimal"/>
      <w:lvlText w:val=""/>
      <w:lvlJc w:val="left"/>
    </w:lvl>
    <w:lvl w:ilvl="8" w:tplc="A7EEBEDE">
      <w:numFmt w:val="decimal"/>
      <w:lvlText w:val=""/>
      <w:lvlJc w:val="left"/>
    </w:lvl>
  </w:abstractNum>
  <w:abstractNum w:abstractNumId="1" w15:restartNumberingAfterBreak="0">
    <w:nsid w:val="796277C5"/>
    <w:multiLevelType w:val="hybridMultilevel"/>
    <w:tmpl w:val="7C16F434"/>
    <w:lvl w:ilvl="0" w:tplc="26E2035A">
      <w:start w:val="1"/>
      <w:numFmt w:val="bullet"/>
      <w:lvlText w:val="●"/>
      <w:lvlJc w:val="left"/>
      <w:pPr>
        <w:ind w:left="720" w:hanging="360"/>
      </w:pPr>
    </w:lvl>
    <w:lvl w:ilvl="1" w:tplc="F768E210">
      <w:start w:val="1"/>
      <w:numFmt w:val="bullet"/>
      <w:lvlText w:val="○"/>
      <w:lvlJc w:val="left"/>
      <w:pPr>
        <w:ind w:left="1440" w:hanging="360"/>
      </w:pPr>
    </w:lvl>
    <w:lvl w:ilvl="2" w:tplc="41FE4038">
      <w:start w:val="1"/>
      <w:numFmt w:val="bullet"/>
      <w:lvlText w:val="■"/>
      <w:lvlJc w:val="left"/>
      <w:pPr>
        <w:ind w:left="2160" w:hanging="360"/>
      </w:pPr>
    </w:lvl>
    <w:lvl w:ilvl="3" w:tplc="FB50E05C">
      <w:start w:val="1"/>
      <w:numFmt w:val="bullet"/>
      <w:lvlText w:val="●"/>
      <w:lvlJc w:val="left"/>
      <w:pPr>
        <w:ind w:left="2880" w:hanging="360"/>
      </w:pPr>
    </w:lvl>
    <w:lvl w:ilvl="4" w:tplc="DD14CDDE">
      <w:start w:val="1"/>
      <w:numFmt w:val="bullet"/>
      <w:lvlText w:val="○"/>
      <w:lvlJc w:val="left"/>
      <w:pPr>
        <w:ind w:left="3600" w:hanging="360"/>
      </w:pPr>
    </w:lvl>
    <w:lvl w:ilvl="5" w:tplc="4870851E">
      <w:start w:val="1"/>
      <w:numFmt w:val="bullet"/>
      <w:lvlText w:val="■"/>
      <w:lvlJc w:val="left"/>
      <w:pPr>
        <w:ind w:left="4320" w:hanging="360"/>
      </w:pPr>
    </w:lvl>
    <w:lvl w:ilvl="6" w:tplc="755CBF10">
      <w:start w:val="1"/>
      <w:numFmt w:val="bullet"/>
      <w:lvlText w:val="●"/>
      <w:lvlJc w:val="left"/>
      <w:pPr>
        <w:ind w:left="5040" w:hanging="360"/>
      </w:pPr>
    </w:lvl>
    <w:lvl w:ilvl="7" w:tplc="67EAEE32">
      <w:start w:val="1"/>
      <w:numFmt w:val="bullet"/>
      <w:lvlText w:val="●"/>
      <w:lvlJc w:val="left"/>
      <w:pPr>
        <w:ind w:left="5760" w:hanging="360"/>
      </w:pPr>
    </w:lvl>
    <w:lvl w:ilvl="8" w:tplc="814488E6">
      <w:start w:val="1"/>
      <w:numFmt w:val="bullet"/>
      <w:lvlText w:val="●"/>
      <w:lvlJc w:val="left"/>
      <w:pPr>
        <w:ind w:left="6480" w:hanging="360"/>
      </w:pPr>
    </w:lvl>
  </w:abstractNum>
  <w:num w:numId="1" w16cid:durableId="175734261">
    <w:abstractNumId w:val="1"/>
    <w:lvlOverride w:ilvl="0">
      <w:startOverride w:val="1"/>
    </w:lvlOverride>
  </w:num>
  <w:num w:numId="2" w16cid:durableId="1132987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116"/>
    <w:rsid w:val="002D7202"/>
    <w:rsid w:val="00344C2C"/>
    <w:rsid w:val="004B3116"/>
    <w:rsid w:val="005274C7"/>
    <w:rsid w:val="00646CD7"/>
    <w:rsid w:val="00EE7391"/>
    <w:rsid w:val="00F66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8D1C"/>
  <w15:docId w15:val="{F318600B-09BD-45C2-A824-F6AB8226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3406</Words>
  <Characters>19415</Characters>
  <Application>Microsoft Office Word</Application>
  <DocSecurity>0</DocSecurity>
  <Lines>161</Lines>
  <Paragraphs>45</Paragraphs>
  <ScaleCrop>false</ScaleCrop>
  <Company/>
  <LinksUpToDate>false</LinksUpToDate>
  <CharactersWithSpaces>22776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reddy Lingala</cp:lastModifiedBy>
  <cp:revision>3</cp:revision>
  <dcterms:created xsi:type="dcterms:W3CDTF">2026-08-07T07:54:00Z</dcterms:created>
  <dcterms:modified xsi:type="dcterms:W3CDTF">2026-08-07T07:57:00Z</dcterms:modified>
</cp:coreProperties>
</file>