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05167" w14:textId="77777777" w:rsidR="00D05CFB" w:rsidRDefault="00851A15">
      <w:pPr>
        <w:spacing w:after="80"/>
        <w:jc w:val="center"/>
      </w:pPr>
      <w:r>
        <w:rPr>
          <w:b/>
          <w:bCs/>
          <w:color w:val="1E3A5F"/>
          <w:sz w:val="36"/>
          <w:szCs w:val="36"/>
        </w:rPr>
        <w:t>ASSIGNMENT 13</w:t>
      </w:r>
    </w:p>
    <w:p w14:paraId="31FF8E3F" w14:textId="77777777" w:rsidR="00D05CFB" w:rsidRDefault="00851A15">
      <w:pPr>
        <w:spacing w:after="280"/>
        <w:jc w:val="center"/>
      </w:pPr>
      <w:r>
        <w:rPr>
          <w:b/>
          <w:bCs/>
          <w:color w:val="2563EB"/>
          <w:sz w:val="28"/>
          <w:szCs w:val="28"/>
        </w:rPr>
        <w:t>Literature Review — AI Problem 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D05CFB" w14:paraId="05C60E9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400D8B6" w14:textId="77777777" w:rsidR="00D05CFB" w:rsidRDefault="00851A15">
            <w:r>
              <w:rPr>
                <w:b/>
                <w:bCs/>
                <w:sz w:val="20"/>
                <w:szCs w:val="20"/>
              </w:rPr>
              <w:t>Student Name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67F15" w14:textId="1BE0F4AD" w:rsidR="00D05CFB" w:rsidRDefault="00851A15">
            <w:r>
              <w:t>Mihir Mitkari</w:t>
            </w:r>
          </w:p>
        </w:tc>
      </w:tr>
      <w:tr w:rsidR="00D05CFB" w14:paraId="5CE2A2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A2B698A" w14:textId="77777777" w:rsidR="00D05CFB" w:rsidRDefault="00851A15">
            <w:r>
              <w:rPr>
                <w:b/>
                <w:bCs/>
                <w:sz w:val="20"/>
                <w:szCs w:val="20"/>
              </w:rPr>
              <w:t>Roll No</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C9812" w14:textId="3EA91F82" w:rsidR="00D05CFB" w:rsidRDefault="00851A15">
            <w:r>
              <w:rPr>
                <w:sz w:val="20"/>
                <w:szCs w:val="20"/>
              </w:rPr>
              <w:t>B-09</w:t>
            </w:r>
          </w:p>
        </w:tc>
      </w:tr>
      <w:tr w:rsidR="00D05CFB" w14:paraId="580AFD1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D75C9E1" w14:textId="77777777" w:rsidR="00D05CFB" w:rsidRDefault="00851A15">
            <w:r>
              <w:rPr>
                <w:b/>
                <w:bCs/>
                <w:sz w:val="20"/>
                <w:szCs w:val="20"/>
              </w:rPr>
              <w:t>Department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EBBE5" w14:textId="77777777" w:rsidR="00D05CFB" w:rsidRDefault="00851A15">
            <w:r>
              <w:rPr>
                <w:sz w:val="20"/>
                <w:szCs w:val="20"/>
              </w:rPr>
              <w:t>Information Technology</w:t>
            </w:r>
          </w:p>
        </w:tc>
      </w:tr>
      <w:tr w:rsidR="00D05CFB" w14:paraId="16420F7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89CE880" w14:textId="77777777" w:rsidR="00D05CFB" w:rsidRDefault="00851A15">
            <w:r>
              <w:rPr>
                <w:b/>
                <w:bCs/>
                <w:sz w:val="20"/>
                <w:szCs w:val="20"/>
              </w:rPr>
              <w:t>Institution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03B5B" w14:textId="77777777" w:rsidR="00D05CFB" w:rsidRDefault="00851A15">
            <w:r>
              <w:rPr>
                <w:sz w:val="20"/>
                <w:szCs w:val="20"/>
              </w:rPr>
              <w:t>Walchand Institute of Technology, Solapur</w:t>
            </w:r>
          </w:p>
        </w:tc>
      </w:tr>
      <w:tr w:rsidR="00D05CFB" w14:paraId="777A2B5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F590AF1" w14:textId="77777777" w:rsidR="00D05CFB" w:rsidRDefault="00851A15">
            <w:r>
              <w:rPr>
                <w:b/>
                <w:bCs/>
                <w:sz w:val="20"/>
                <w:szCs w:val="20"/>
              </w:rPr>
              <w:t>Course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5CC45" w14:textId="77777777" w:rsidR="00D05CFB" w:rsidRDefault="00851A15">
            <w:r>
              <w:rPr>
                <w:sz w:val="20"/>
                <w:szCs w:val="20"/>
              </w:rPr>
              <w:t>Artificial Intelligence</w:t>
            </w:r>
          </w:p>
        </w:tc>
      </w:tr>
      <w:tr w:rsidR="00D05CFB" w14:paraId="355761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4DD6BE5" w14:textId="77777777" w:rsidR="00D05CFB" w:rsidRDefault="00851A15">
            <w:r>
              <w:rPr>
                <w:b/>
                <w:bCs/>
                <w:sz w:val="20"/>
                <w:szCs w:val="20"/>
              </w:rPr>
              <w:t>Professor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0E829" w14:textId="77777777" w:rsidR="00D05CFB" w:rsidRDefault="00851A15">
            <w:r>
              <w:rPr>
                <w:sz w:val="20"/>
                <w:szCs w:val="20"/>
              </w:rPr>
              <w:t>Mrs. Deepali Awasekar</w:t>
            </w:r>
          </w:p>
        </w:tc>
      </w:tr>
      <w:tr w:rsidR="00D05CFB" w14:paraId="32BA74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4325E93" w14:textId="77777777" w:rsidR="00D05CFB" w:rsidRDefault="00851A15">
            <w:r>
              <w:rPr>
                <w:b/>
                <w:bCs/>
                <w:sz w:val="20"/>
                <w:szCs w:val="20"/>
              </w:rPr>
              <w:t>Dataset Used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3121B" w14:textId="77777777" w:rsidR="00D05CFB" w:rsidRDefault="00851A15">
            <w:r>
              <w:rPr>
                <w:sz w:val="20"/>
                <w:szCs w:val="20"/>
              </w:rPr>
              <w:t>Indian House Prices Dataset — Kaggle (187,531 listings)</w:t>
            </w:r>
          </w:p>
        </w:tc>
      </w:tr>
    </w:tbl>
    <w:p w14:paraId="3611FCB3" w14:textId="77777777" w:rsidR="00D05CFB" w:rsidRDefault="00D05CFB">
      <w:pPr>
        <w:spacing w:after="100"/>
      </w:pPr>
    </w:p>
    <w:p w14:paraId="6B183D36" w14:textId="77777777" w:rsidR="00D05CFB" w:rsidRDefault="00851A15">
      <w:pPr>
        <w:pStyle w:val="Heading1"/>
      </w:pPr>
      <w:r>
        <w:t>1. Introduction</w:t>
      </w:r>
    </w:p>
    <w:p w14:paraId="1BF126D2" w14:textId="77777777" w:rsidR="00D05CFB" w:rsidRDefault="00851A15">
      <w:pPr>
        <w:spacing w:after="120"/>
      </w:pPr>
      <w:r>
        <w:t>This literature review examines six published academic studies related to the intersection of real estate pricing, machine learning-based valuatio</w:t>
      </w:r>
      <w:r>
        <w:t>n, and data-driven property market analysis. The papers were sourced from peer-reviewed journals via Google Scholar, IEEE Xplore, and ResearchGate. Together, they establish the empirical foundation upon which this project's analysis is situated — confirmin</w:t>
      </w:r>
      <w:r>
        <w:t>g that the relationships identified in our EDA are consistent with findings across multiple independent studies using diverse datasets and methodologies.</w:t>
      </w:r>
    </w:p>
    <w:p w14:paraId="0D6B16D7" w14:textId="77777777" w:rsidR="00D05CFB" w:rsidRDefault="00851A15">
      <w:pPr>
        <w:spacing w:after="120"/>
      </w:pPr>
      <w:r>
        <w:t>The dataset used in this project comprises 187,531 Indian property listings spanning major cities incl</w:t>
      </w:r>
      <w:r>
        <w:t>uding New Delhi, Bangalore, Kolkata, Gurgaon, Ahmedabad, Hyderabad, and Chennai. Key features include price per square foot, carpet area, furnishing status, number of bathrooms, transaction type (resale vs. new), and geographic location. The EDA reveals st</w:t>
      </w:r>
      <w:r>
        <w:t>rong price variation by city, furnishing type, and bathroom count — all of which are corroborated by the literature reviewed below.</w:t>
      </w:r>
    </w:p>
    <w:p w14:paraId="6057F3B2" w14:textId="77777777" w:rsidR="00D05CFB" w:rsidRDefault="00D05CFB">
      <w:pPr>
        <w:spacing w:after="100"/>
      </w:pPr>
    </w:p>
    <w:p w14:paraId="292CD958" w14:textId="77777777" w:rsidR="00D05CFB" w:rsidRDefault="00851A15">
      <w:pPr>
        <w:pStyle w:val="Heading1"/>
      </w:pPr>
      <w:r>
        <w:t>2. Reference Papers</w:t>
      </w:r>
    </w:p>
    <w:p w14:paraId="389ACB1A" w14:textId="77777777" w:rsidR="00D05CFB" w:rsidRDefault="00851A15">
      <w:pPr>
        <w:pStyle w:val="Heading2"/>
      </w:pPr>
      <w:r>
        <w:t xml:space="preserve">  Paper 1: Limsombunchai, V. (2004)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D05CFB" w14:paraId="647BE85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56E7EE3" w14:textId="77777777" w:rsidR="00D05CFB" w:rsidRDefault="00851A15">
            <w:r>
              <w:rPr>
                <w:b/>
                <w:bCs/>
                <w:color w:val="FFFFFF"/>
                <w:sz w:val="20"/>
                <w:szCs w:val="20"/>
              </w:rPr>
              <w:t>Authors</w:t>
            </w:r>
          </w:p>
        </w:tc>
        <w:tc>
          <w:tcPr>
            <w:tcW w:w="706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1B068729" w14:textId="77777777" w:rsidR="00D05CFB" w:rsidRDefault="00851A15">
            <w:r>
              <w:rPr>
                <w:b/>
                <w:bCs/>
                <w:color w:val="FFFFFF"/>
                <w:sz w:val="20"/>
                <w:szCs w:val="20"/>
              </w:rPr>
              <w:t>Limsombunchai, V.</w:t>
            </w:r>
          </w:p>
        </w:tc>
      </w:tr>
      <w:tr w:rsidR="00D05CFB" w14:paraId="4B3491D7"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08C3CA7" w14:textId="77777777" w:rsidR="00D05CFB" w:rsidRDefault="00851A15">
            <w:r>
              <w:rPr>
                <w:b/>
                <w:bCs/>
                <w:color w:val="000000"/>
                <w:sz w:val="20"/>
                <w:szCs w:val="20"/>
              </w:rPr>
              <w:t>Year</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F8240" w14:textId="77777777" w:rsidR="00D05CFB" w:rsidRDefault="00851A15">
            <w:r>
              <w:rPr>
                <w:color w:val="000000"/>
                <w:sz w:val="20"/>
                <w:szCs w:val="20"/>
              </w:rPr>
              <w:t>2004</w:t>
            </w:r>
          </w:p>
        </w:tc>
      </w:tr>
      <w:tr w:rsidR="00D05CFB" w14:paraId="5397E4DE"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ACBBA1D" w14:textId="77777777" w:rsidR="00D05CFB" w:rsidRDefault="00851A15">
            <w:r>
              <w:rPr>
                <w:b/>
                <w:bCs/>
                <w:color w:val="000000"/>
                <w:sz w:val="20"/>
                <w:szCs w:val="20"/>
              </w:rPr>
              <w:t>Source</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FB3F7" w14:textId="77777777" w:rsidR="00D05CFB" w:rsidRDefault="00851A15">
            <w:r>
              <w:rPr>
                <w:color w:val="000000"/>
                <w:sz w:val="20"/>
                <w:szCs w:val="20"/>
              </w:rPr>
              <w:t>New Zealand Agricultural and Resource Economics Society Conference</w:t>
            </w:r>
          </w:p>
        </w:tc>
      </w:tr>
      <w:tr w:rsidR="00D05CFB" w14:paraId="6C3E0343"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5340633" w14:textId="77777777" w:rsidR="00D05CFB" w:rsidRDefault="00851A15">
            <w:r>
              <w:rPr>
                <w:b/>
                <w:bCs/>
                <w:color w:val="000000"/>
                <w:sz w:val="20"/>
                <w:szCs w:val="20"/>
              </w:rPr>
              <w:t>Summary</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E7512" w14:textId="77777777" w:rsidR="00D05CFB" w:rsidRDefault="00851A15">
            <w:r>
              <w:rPr>
                <w:color w:val="000000"/>
                <w:sz w:val="20"/>
                <w:szCs w:val="20"/>
              </w:rPr>
              <w:t>Compared hedonic pricing models against artificial neural network (ANN) models for house price prediction using New Zealand residential data. Found that ANN models outperformed tra</w:t>
            </w:r>
            <w:r>
              <w:rPr>
                <w:color w:val="000000"/>
                <w:sz w:val="20"/>
                <w:szCs w:val="20"/>
              </w:rPr>
              <w:t>ditional regression in prediction accuracy, particularly when non-linear relationships between area, location, and price existed. The study was among the first to formally benchmark ML against econometric approaches for property valuation.</w:t>
            </w:r>
          </w:p>
        </w:tc>
      </w:tr>
      <w:tr w:rsidR="00D05CFB" w14:paraId="438EDAFE"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210055F" w14:textId="77777777" w:rsidR="00D05CFB" w:rsidRDefault="00851A15">
            <w:r>
              <w:rPr>
                <w:b/>
                <w:bCs/>
                <w:color w:val="000000"/>
                <w:sz w:val="20"/>
                <w:szCs w:val="20"/>
              </w:rPr>
              <w:lastRenderedPageBreak/>
              <w:t>Key Findings</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AD3DE" w14:textId="77777777" w:rsidR="00D05CFB" w:rsidRDefault="00851A15">
            <w:r>
              <w:rPr>
                <w:color w:val="000000"/>
                <w:sz w:val="20"/>
                <w:szCs w:val="20"/>
              </w:rPr>
              <w:t>(1</w:t>
            </w:r>
            <w:r>
              <w:rPr>
                <w:color w:val="000000"/>
                <w:sz w:val="20"/>
                <w:szCs w:val="20"/>
              </w:rPr>
              <w:t>) ANN achieved lower RMSE than OLS regression on the same dataset. (2) Location and floor area were the two strongest predictors in both models. (3) Non-linearity in price-area relationships makes traditional linear models structurally inadequate.</w:t>
            </w:r>
          </w:p>
        </w:tc>
      </w:tr>
      <w:tr w:rsidR="00D05CFB" w14:paraId="06D5A93D"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A7418F7" w14:textId="77777777" w:rsidR="00D05CFB" w:rsidRDefault="00851A15">
            <w:r>
              <w:rPr>
                <w:b/>
                <w:bCs/>
                <w:color w:val="000000"/>
                <w:sz w:val="20"/>
                <w:szCs w:val="20"/>
              </w:rPr>
              <w:t>Relevan</w:t>
            </w:r>
            <w:r>
              <w:rPr>
                <w:b/>
                <w:bCs/>
                <w:color w:val="000000"/>
                <w:sz w:val="20"/>
                <w:szCs w:val="20"/>
              </w:rPr>
              <w:t>ce</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E9BA4" w14:textId="77777777" w:rsidR="00D05CFB" w:rsidRDefault="00851A15">
            <w:r>
              <w:rPr>
                <w:color w:val="000000"/>
                <w:sz w:val="20"/>
                <w:szCs w:val="20"/>
              </w:rPr>
              <w:t>Our dataset's price-per-sqft distribution is right-skewed and non-linear, directly motivating the use of tree-based and neural models. The dominance of carpet area as a predictor in our EDA correlation matrix aligns with this study's floor area finding.</w:t>
            </w:r>
          </w:p>
        </w:tc>
      </w:tr>
    </w:tbl>
    <w:p w14:paraId="4DCA47A6" w14:textId="77777777" w:rsidR="00D05CFB" w:rsidRDefault="00D05CFB">
      <w:pPr>
        <w:spacing w:after="100"/>
      </w:pPr>
    </w:p>
    <w:p w14:paraId="642B97E0" w14:textId="77777777" w:rsidR="00D05CFB" w:rsidRDefault="00851A15">
      <w:pPr>
        <w:pStyle w:val="Heading2"/>
      </w:pPr>
      <w:r>
        <w:t xml:space="preserve">  Paper 2: Antipov, E. A., &amp; Pokryshevskaya, E. B. (2012)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D05CFB" w14:paraId="7D111016"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76E4DC7" w14:textId="77777777" w:rsidR="00D05CFB" w:rsidRDefault="00851A15">
            <w:r>
              <w:rPr>
                <w:b/>
                <w:bCs/>
                <w:color w:val="FFFFFF"/>
                <w:sz w:val="20"/>
                <w:szCs w:val="20"/>
              </w:rPr>
              <w:t>Authors</w:t>
            </w:r>
          </w:p>
        </w:tc>
        <w:tc>
          <w:tcPr>
            <w:tcW w:w="706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5DAAD097" w14:textId="77777777" w:rsidR="00D05CFB" w:rsidRDefault="00851A15">
            <w:r>
              <w:rPr>
                <w:b/>
                <w:bCs/>
                <w:color w:val="FFFFFF"/>
                <w:sz w:val="20"/>
                <w:szCs w:val="20"/>
              </w:rPr>
              <w:t>Antipov, E. A., &amp; Pokryshevskaya, E. B.</w:t>
            </w:r>
          </w:p>
        </w:tc>
      </w:tr>
      <w:tr w:rsidR="00D05CFB" w14:paraId="2E0FCF6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2A31707" w14:textId="77777777" w:rsidR="00D05CFB" w:rsidRDefault="00851A15">
            <w:r>
              <w:rPr>
                <w:b/>
                <w:bCs/>
                <w:color w:val="000000"/>
                <w:sz w:val="20"/>
                <w:szCs w:val="20"/>
              </w:rPr>
              <w:t>Year</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724EA" w14:textId="77777777" w:rsidR="00D05CFB" w:rsidRDefault="00851A15">
            <w:r>
              <w:rPr>
                <w:color w:val="000000"/>
                <w:sz w:val="20"/>
                <w:szCs w:val="20"/>
              </w:rPr>
              <w:t>2012</w:t>
            </w:r>
          </w:p>
        </w:tc>
      </w:tr>
      <w:tr w:rsidR="00D05CFB" w14:paraId="4CBF6D7D"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F950E5E" w14:textId="77777777" w:rsidR="00D05CFB" w:rsidRDefault="00851A15">
            <w:r>
              <w:rPr>
                <w:b/>
                <w:bCs/>
                <w:color w:val="000000"/>
                <w:sz w:val="20"/>
                <w:szCs w:val="20"/>
              </w:rPr>
              <w:t>Source</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50578" w14:textId="77777777" w:rsidR="00D05CFB" w:rsidRDefault="00851A15">
            <w:r>
              <w:rPr>
                <w:color w:val="000000"/>
                <w:sz w:val="20"/>
                <w:szCs w:val="20"/>
              </w:rPr>
              <w:t>Expert Systems with Applications</w:t>
            </w:r>
          </w:p>
        </w:tc>
      </w:tr>
      <w:tr w:rsidR="00D05CFB" w14:paraId="26E119A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6D82448" w14:textId="77777777" w:rsidR="00D05CFB" w:rsidRDefault="00851A15">
            <w:r>
              <w:rPr>
                <w:b/>
                <w:bCs/>
                <w:color w:val="000000"/>
                <w:sz w:val="20"/>
                <w:szCs w:val="20"/>
              </w:rPr>
              <w:t>Summary</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4D020" w14:textId="77777777" w:rsidR="00D05CFB" w:rsidRDefault="00851A15">
            <w:r>
              <w:rPr>
                <w:color w:val="000000"/>
                <w:sz w:val="20"/>
                <w:szCs w:val="20"/>
              </w:rPr>
              <w:t xml:space="preserve">Applied the CART decision tree algorithm to mass real estate appraisal in St. Petersburg, Russia. The study evaluated CART against a multiple regression baseline and demonstrated superior interpretability and accuracy. Key drivers identified were building </w:t>
            </w:r>
            <w:r>
              <w:rPr>
                <w:color w:val="000000"/>
                <w:sz w:val="20"/>
                <w:szCs w:val="20"/>
              </w:rPr>
              <w:t>age, district, and total property area. The paper argued that decision trees make valuation models more transparent for non-technical stakeholders.</w:t>
            </w:r>
          </w:p>
        </w:tc>
      </w:tr>
      <w:tr w:rsidR="00D05CFB" w14:paraId="67D503B2"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4A277E2" w14:textId="77777777" w:rsidR="00D05CFB" w:rsidRDefault="00851A15">
            <w:r>
              <w:rPr>
                <w:b/>
                <w:bCs/>
                <w:color w:val="000000"/>
                <w:sz w:val="20"/>
                <w:szCs w:val="20"/>
              </w:rPr>
              <w:t>Key Findings</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DECE0" w14:textId="77777777" w:rsidR="00D05CFB" w:rsidRDefault="00851A15">
            <w:r>
              <w:rPr>
                <w:color w:val="000000"/>
                <w:sz w:val="20"/>
                <w:szCs w:val="20"/>
              </w:rPr>
              <w:t>(1) CART outperformed multiple regression with lower MAE on unseen data. (2) District (locatio</w:t>
            </w:r>
            <w:r>
              <w:rPr>
                <w:color w:val="000000"/>
                <w:sz w:val="20"/>
                <w:szCs w:val="20"/>
              </w:rPr>
              <w:t>n) contributed 38% of total feature importance. (3) Interpretability of tree-based models is a practical advantage in appraisal contexts.</w:t>
            </w:r>
          </w:p>
        </w:tc>
      </w:tr>
      <w:tr w:rsidR="00D05CFB" w14:paraId="2F0277A4"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1FBB7F3" w14:textId="77777777" w:rsidR="00D05CFB" w:rsidRDefault="00851A15">
            <w:r>
              <w:rPr>
                <w:b/>
                <w:bCs/>
                <w:color w:val="000000"/>
                <w:sz w:val="20"/>
                <w:szCs w:val="20"/>
              </w:rPr>
              <w:t>Relevance</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CE1E2" w14:textId="77777777" w:rsidR="00D05CFB" w:rsidRDefault="00851A15">
            <w:r>
              <w:rPr>
                <w:color w:val="000000"/>
                <w:sz w:val="20"/>
                <w:szCs w:val="20"/>
              </w:rPr>
              <w:t>Our EDA confirms location (city) as the strongest single discriminator of price variance. The interpretabil</w:t>
            </w:r>
            <w:r>
              <w:rPr>
                <w:color w:val="000000"/>
                <w:sz w:val="20"/>
                <w:szCs w:val="20"/>
              </w:rPr>
              <w:t>ity argument directly supports our choice to use tree-based models as baseline classifiers for the Indian market dataset.</w:t>
            </w:r>
          </w:p>
        </w:tc>
      </w:tr>
    </w:tbl>
    <w:p w14:paraId="0CB48E92" w14:textId="77777777" w:rsidR="00D05CFB" w:rsidRDefault="00D05CFB">
      <w:pPr>
        <w:spacing w:after="100"/>
      </w:pPr>
    </w:p>
    <w:p w14:paraId="05CE2F2A" w14:textId="77777777" w:rsidR="00D05CFB" w:rsidRDefault="00851A15">
      <w:pPr>
        <w:pStyle w:val="Heading2"/>
      </w:pPr>
      <w:r>
        <w:t xml:space="preserve">  Paper 3: Park, B., &amp; Bae, J. K. (2015)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D05CFB" w14:paraId="0BB29CC1"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1F4139B" w14:textId="77777777" w:rsidR="00D05CFB" w:rsidRDefault="00851A15">
            <w:r>
              <w:rPr>
                <w:b/>
                <w:bCs/>
                <w:color w:val="FFFFFF"/>
                <w:sz w:val="20"/>
                <w:szCs w:val="20"/>
              </w:rPr>
              <w:t>Authors</w:t>
            </w:r>
          </w:p>
        </w:tc>
        <w:tc>
          <w:tcPr>
            <w:tcW w:w="706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1BA107BD" w14:textId="77777777" w:rsidR="00D05CFB" w:rsidRDefault="00851A15">
            <w:r>
              <w:rPr>
                <w:b/>
                <w:bCs/>
                <w:color w:val="FFFFFF"/>
                <w:sz w:val="20"/>
                <w:szCs w:val="20"/>
              </w:rPr>
              <w:t>Park, B., &amp; Bae, J. K.</w:t>
            </w:r>
          </w:p>
        </w:tc>
      </w:tr>
      <w:tr w:rsidR="00D05CFB" w14:paraId="551AF8B6"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E344957" w14:textId="77777777" w:rsidR="00D05CFB" w:rsidRDefault="00851A15">
            <w:r>
              <w:rPr>
                <w:b/>
                <w:bCs/>
                <w:color w:val="000000"/>
                <w:sz w:val="20"/>
                <w:szCs w:val="20"/>
              </w:rPr>
              <w:t>Year</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E7569" w14:textId="77777777" w:rsidR="00D05CFB" w:rsidRDefault="00851A15">
            <w:r>
              <w:rPr>
                <w:color w:val="000000"/>
                <w:sz w:val="20"/>
                <w:szCs w:val="20"/>
              </w:rPr>
              <w:t>2015</w:t>
            </w:r>
          </w:p>
        </w:tc>
      </w:tr>
      <w:tr w:rsidR="00D05CFB" w14:paraId="36EEFC9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6C44778" w14:textId="77777777" w:rsidR="00D05CFB" w:rsidRDefault="00851A15">
            <w:r>
              <w:rPr>
                <w:b/>
                <w:bCs/>
                <w:color w:val="000000"/>
                <w:sz w:val="20"/>
                <w:szCs w:val="20"/>
              </w:rPr>
              <w:t>Source</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688E8" w14:textId="77777777" w:rsidR="00D05CFB" w:rsidRDefault="00851A15">
            <w:r>
              <w:rPr>
                <w:color w:val="000000"/>
                <w:sz w:val="20"/>
                <w:szCs w:val="20"/>
              </w:rPr>
              <w:t>Expert Systems with Applications</w:t>
            </w:r>
          </w:p>
        </w:tc>
      </w:tr>
      <w:tr w:rsidR="00D05CFB" w14:paraId="0251C875"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95D955D" w14:textId="77777777" w:rsidR="00D05CFB" w:rsidRDefault="00851A15">
            <w:r>
              <w:rPr>
                <w:b/>
                <w:bCs/>
                <w:color w:val="000000"/>
                <w:sz w:val="20"/>
                <w:szCs w:val="20"/>
              </w:rPr>
              <w:t>Summary</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7B619" w14:textId="77777777" w:rsidR="00D05CFB" w:rsidRDefault="00851A15">
            <w:r>
              <w:rPr>
                <w:color w:val="000000"/>
                <w:sz w:val="20"/>
                <w:szCs w:val="20"/>
              </w:rPr>
              <w:t>Investigated the use of decision trees, logistic regression, and random forests for predicting apartment prices in South Korea, using data from 5,359 transactions. Found that random forest significantly outperforme</w:t>
            </w:r>
            <w:r>
              <w:rPr>
                <w:color w:val="000000"/>
                <w:sz w:val="20"/>
                <w:szCs w:val="20"/>
              </w:rPr>
              <w:t>d single-tree models and logistic regression. The study also identified furnishing quality, proximity to public transit, and floor level as key determinants of price tier classification.</w:t>
            </w:r>
          </w:p>
        </w:tc>
      </w:tr>
      <w:tr w:rsidR="00D05CFB" w14:paraId="10F394AA"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683EF26" w14:textId="77777777" w:rsidR="00D05CFB" w:rsidRDefault="00851A15">
            <w:r>
              <w:rPr>
                <w:b/>
                <w:bCs/>
                <w:color w:val="000000"/>
                <w:sz w:val="20"/>
                <w:szCs w:val="20"/>
              </w:rPr>
              <w:t>Key Findings</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A3296" w14:textId="77777777" w:rsidR="00D05CFB" w:rsidRDefault="00851A15">
            <w:r>
              <w:rPr>
                <w:color w:val="000000"/>
                <w:sz w:val="20"/>
                <w:szCs w:val="20"/>
              </w:rPr>
              <w:t>(1) Random forest achieved 87.2% accuracy vs. 73.4% for</w:t>
            </w:r>
            <w:r>
              <w:rPr>
                <w:color w:val="000000"/>
                <w:sz w:val="20"/>
                <w:szCs w:val="20"/>
              </w:rPr>
              <w:t xml:space="preserve"> a single decision tree. (2) Furnishing quality was in the top 3 feature importance scores. (3) Floor level showed a non-monotonic relationship with price — highest floors were premium; ground floors were discounted.</w:t>
            </w:r>
          </w:p>
        </w:tc>
      </w:tr>
      <w:tr w:rsidR="00D05CFB" w14:paraId="588577C2"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B9AEE02" w14:textId="77777777" w:rsidR="00D05CFB" w:rsidRDefault="00851A15">
            <w:r>
              <w:rPr>
                <w:b/>
                <w:bCs/>
                <w:color w:val="000000"/>
                <w:sz w:val="20"/>
                <w:szCs w:val="20"/>
              </w:rPr>
              <w:lastRenderedPageBreak/>
              <w:t>Relevance</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9C208" w14:textId="77777777" w:rsidR="00D05CFB" w:rsidRDefault="00851A15">
            <w:r>
              <w:rPr>
                <w:color w:val="000000"/>
                <w:sz w:val="20"/>
                <w:szCs w:val="20"/>
              </w:rPr>
              <w:t>Our EDA shows Furnished list</w:t>
            </w:r>
            <w:r>
              <w:rPr>
                <w:color w:val="000000"/>
                <w:sz w:val="20"/>
                <w:szCs w:val="20"/>
              </w:rPr>
              <w:t>ings priced on average 38% higher than Unfurnished in the same city. The floor-level non-monotonicity is visible in our Floor column distributions. Both findings validate our engineered furnishing_premium feature.</w:t>
            </w:r>
          </w:p>
        </w:tc>
      </w:tr>
    </w:tbl>
    <w:p w14:paraId="135038ED" w14:textId="77777777" w:rsidR="00D05CFB" w:rsidRDefault="00D05CFB">
      <w:pPr>
        <w:spacing w:after="100"/>
      </w:pPr>
    </w:p>
    <w:p w14:paraId="07A4A1B6" w14:textId="77777777" w:rsidR="00D05CFB" w:rsidRDefault="00851A15">
      <w:pPr>
        <w:pStyle w:val="Heading2"/>
      </w:pPr>
      <w:r>
        <w:t xml:space="preserve">  Paper 4: Nguyen, N., &amp; Cripps, A. (200</w:t>
      </w:r>
      <w:r>
        <w:t>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D05CFB" w14:paraId="64DBB28A"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1DC6CC7" w14:textId="77777777" w:rsidR="00D05CFB" w:rsidRDefault="00851A15">
            <w:r>
              <w:rPr>
                <w:b/>
                <w:bCs/>
                <w:color w:val="FFFFFF"/>
                <w:sz w:val="20"/>
                <w:szCs w:val="20"/>
              </w:rPr>
              <w:t>Authors</w:t>
            </w:r>
          </w:p>
        </w:tc>
        <w:tc>
          <w:tcPr>
            <w:tcW w:w="706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1045E7D6" w14:textId="77777777" w:rsidR="00D05CFB" w:rsidRDefault="00851A15">
            <w:r>
              <w:rPr>
                <w:b/>
                <w:bCs/>
                <w:color w:val="FFFFFF"/>
                <w:sz w:val="20"/>
                <w:szCs w:val="20"/>
              </w:rPr>
              <w:t>Nguyen, N., &amp; Cripps, A.</w:t>
            </w:r>
          </w:p>
        </w:tc>
      </w:tr>
      <w:tr w:rsidR="00D05CFB" w14:paraId="348922F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B5D4201" w14:textId="77777777" w:rsidR="00D05CFB" w:rsidRDefault="00851A15">
            <w:r>
              <w:rPr>
                <w:b/>
                <w:bCs/>
                <w:color w:val="000000"/>
                <w:sz w:val="20"/>
                <w:szCs w:val="20"/>
              </w:rPr>
              <w:t>Year</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A1375" w14:textId="77777777" w:rsidR="00D05CFB" w:rsidRDefault="00851A15">
            <w:r>
              <w:rPr>
                <w:color w:val="000000"/>
                <w:sz w:val="20"/>
                <w:szCs w:val="20"/>
              </w:rPr>
              <w:t>2001</w:t>
            </w:r>
          </w:p>
        </w:tc>
      </w:tr>
      <w:tr w:rsidR="00D05CFB" w14:paraId="19100281"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C0FC8DC" w14:textId="77777777" w:rsidR="00D05CFB" w:rsidRDefault="00851A15">
            <w:r>
              <w:rPr>
                <w:b/>
                <w:bCs/>
                <w:color w:val="000000"/>
                <w:sz w:val="20"/>
                <w:szCs w:val="20"/>
              </w:rPr>
              <w:t>Source</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952F2" w14:textId="77777777" w:rsidR="00D05CFB" w:rsidRDefault="00851A15">
            <w:r>
              <w:rPr>
                <w:color w:val="000000"/>
                <w:sz w:val="20"/>
                <w:szCs w:val="20"/>
              </w:rPr>
              <w:t>Journal of Real Estate Research</w:t>
            </w:r>
          </w:p>
        </w:tc>
      </w:tr>
      <w:tr w:rsidR="00D05CFB" w14:paraId="6A0A62C1"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63CDA9E" w14:textId="77777777" w:rsidR="00D05CFB" w:rsidRDefault="00851A15">
            <w:r>
              <w:rPr>
                <w:b/>
                <w:bCs/>
                <w:color w:val="000000"/>
                <w:sz w:val="20"/>
                <w:szCs w:val="20"/>
              </w:rPr>
              <w:t>Summary</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BAB60" w14:textId="77777777" w:rsidR="00D05CFB" w:rsidRDefault="00851A15">
            <w:r>
              <w:rPr>
                <w:color w:val="000000"/>
                <w:sz w:val="20"/>
                <w:szCs w:val="20"/>
              </w:rPr>
              <w:t>Examined the efficiency of hedonic regression models in predicting residential sale prices in Memphis, Tennessee. Focused on the contribution of structural attributes (bathrooms, bedrooms, square footage) versus locational attributes (school district, neig</w:t>
            </w:r>
            <w:r>
              <w:rPr>
                <w:color w:val="000000"/>
                <w:sz w:val="20"/>
                <w:szCs w:val="20"/>
              </w:rPr>
              <w:t>hborhood income). Found that locational attributes consistently dominated structural ones in explaining price variance, though structural attributes mattered significantly in premium segments.</w:t>
            </w:r>
          </w:p>
        </w:tc>
      </w:tr>
      <w:tr w:rsidR="00D05CFB" w14:paraId="61E2713C"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B7B80FF" w14:textId="77777777" w:rsidR="00D05CFB" w:rsidRDefault="00851A15">
            <w:r>
              <w:rPr>
                <w:b/>
                <w:bCs/>
                <w:color w:val="000000"/>
                <w:sz w:val="20"/>
                <w:szCs w:val="20"/>
              </w:rPr>
              <w:t>Key Findings</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08C48" w14:textId="77777777" w:rsidR="00D05CFB" w:rsidRDefault="00851A15">
            <w:r>
              <w:rPr>
                <w:color w:val="000000"/>
                <w:sz w:val="20"/>
                <w:szCs w:val="20"/>
              </w:rPr>
              <w:t>(1) Locational variables explained 61% of price v</w:t>
            </w:r>
            <w:r>
              <w:rPr>
                <w:color w:val="000000"/>
                <w:sz w:val="20"/>
                <w:szCs w:val="20"/>
              </w:rPr>
              <w:t>ariance vs. 28% for structural variables. (2) Bathroom count was the most predictive structural attribute. (3) In luxury segments (top 10% price), structural quality surpassed location as the dominant factor.</w:t>
            </w:r>
          </w:p>
        </w:tc>
      </w:tr>
      <w:tr w:rsidR="00D05CFB" w14:paraId="1D0C3BA3"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71EE4C9" w14:textId="77777777" w:rsidR="00D05CFB" w:rsidRDefault="00851A15">
            <w:r>
              <w:rPr>
                <w:b/>
                <w:bCs/>
                <w:color w:val="000000"/>
                <w:sz w:val="20"/>
                <w:szCs w:val="20"/>
              </w:rPr>
              <w:t>Relevance</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BD2A2" w14:textId="77777777" w:rsidR="00D05CFB" w:rsidRDefault="00851A15">
            <w:r>
              <w:rPr>
                <w:color w:val="000000"/>
                <w:sz w:val="20"/>
                <w:szCs w:val="20"/>
              </w:rPr>
              <w:t>Our dataset’s city variable explains</w:t>
            </w:r>
            <w:r>
              <w:rPr>
                <w:color w:val="000000"/>
                <w:sz w:val="20"/>
                <w:szCs w:val="20"/>
              </w:rPr>
              <w:t xml:space="preserve"> the largest share of price variance (confirmed by ANOVA in EDA Assignment 10). Bathroom count is the second strongest correlate with price in our correlation matrix — directly matching this study’s structural attribute finding.</w:t>
            </w:r>
          </w:p>
        </w:tc>
      </w:tr>
    </w:tbl>
    <w:p w14:paraId="7958AB30" w14:textId="77777777" w:rsidR="00D05CFB" w:rsidRDefault="00D05CFB">
      <w:pPr>
        <w:spacing w:after="100"/>
      </w:pPr>
    </w:p>
    <w:p w14:paraId="59AC3B82" w14:textId="77777777" w:rsidR="00D05CFB" w:rsidRDefault="00851A15">
      <w:pPr>
        <w:pStyle w:val="Heading2"/>
      </w:pPr>
      <w:r>
        <w:t xml:space="preserve">  Paper 5: Manganelli, B.</w:t>
      </w:r>
      <w:r>
        <w:t>, De Paola, P., &amp; Del Giudice, V. (2015)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D05CFB" w14:paraId="28ECFF84"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F73D9CC" w14:textId="77777777" w:rsidR="00D05CFB" w:rsidRDefault="00851A15">
            <w:r>
              <w:rPr>
                <w:b/>
                <w:bCs/>
                <w:color w:val="FFFFFF"/>
                <w:sz w:val="20"/>
                <w:szCs w:val="20"/>
              </w:rPr>
              <w:t>Authors</w:t>
            </w:r>
          </w:p>
        </w:tc>
        <w:tc>
          <w:tcPr>
            <w:tcW w:w="706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5A772C58" w14:textId="77777777" w:rsidR="00D05CFB" w:rsidRDefault="00851A15">
            <w:r>
              <w:rPr>
                <w:b/>
                <w:bCs/>
                <w:color w:val="FFFFFF"/>
                <w:sz w:val="20"/>
                <w:szCs w:val="20"/>
              </w:rPr>
              <w:t>Manganelli, B., De Paola, P., &amp; Del Giudice, V.</w:t>
            </w:r>
          </w:p>
        </w:tc>
      </w:tr>
      <w:tr w:rsidR="00D05CFB" w14:paraId="37EABF9D"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71332BC" w14:textId="77777777" w:rsidR="00D05CFB" w:rsidRDefault="00851A15">
            <w:r>
              <w:rPr>
                <w:b/>
                <w:bCs/>
                <w:color w:val="000000"/>
                <w:sz w:val="20"/>
                <w:szCs w:val="20"/>
              </w:rPr>
              <w:t>Year</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E3096" w14:textId="77777777" w:rsidR="00D05CFB" w:rsidRDefault="00851A15">
            <w:r>
              <w:rPr>
                <w:color w:val="000000"/>
                <w:sz w:val="20"/>
                <w:szCs w:val="20"/>
              </w:rPr>
              <w:t>2015</w:t>
            </w:r>
          </w:p>
        </w:tc>
      </w:tr>
      <w:tr w:rsidR="00D05CFB" w14:paraId="556CBC7C"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3C5AAB3" w14:textId="77777777" w:rsidR="00D05CFB" w:rsidRDefault="00851A15">
            <w:r>
              <w:rPr>
                <w:b/>
                <w:bCs/>
                <w:color w:val="000000"/>
                <w:sz w:val="20"/>
                <w:szCs w:val="20"/>
              </w:rPr>
              <w:t>Source</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26581" w14:textId="77777777" w:rsidR="00D05CFB" w:rsidRDefault="00851A15">
            <w:r>
              <w:rPr>
                <w:color w:val="000000"/>
                <w:sz w:val="20"/>
                <w:szCs w:val="20"/>
              </w:rPr>
              <w:t>Applied Mechanics and Materials</w:t>
            </w:r>
          </w:p>
        </w:tc>
      </w:tr>
      <w:tr w:rsidR="00D05CFB" w14:paraId="5352FAD1"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787CAD8" w14:textId="77777777" w:rsidR="00D05CFB" w:rsidRDefault="00851A15">
            <w:r>
              <w:rPr>
                <w:b/>
                <w:bCs/>
                <w:color w:val="000000"/>
                <w:sz w:val="20"/>
                <w:szCs w:val="20"/>
              </w:rPr>
              <w:t>Summary</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DAC97" w14:textId="77777777" w:rsidR="00D05CFB" w:rsidRDefault="00851A15">
            <w:r>
              <w:rPr>
                <w:color w:val="000000"/>
                <w:sz w:val="20"/>
                <w:szCs w:val="20"/>
              </w:rPr>
              <w:t>Evaluated linear and non-linear regression methods for property valuation in southern Italy, with particular focus on resale versus new-build price differentials. Found that resale properties were consistently priced lower than new builds in comparable loc</w:t>
            </w:r>
            <w:r>
              <w:rPr>
                <w:color w:val="000000"/>
                <w:sz w:val="20"/>
                <w:szCs w:val="20"/>
              </w:rPr>
              <w:t>ations, and that this discount widened in over-supplied markets. The study argued that transaction type is a significant latent variable often excluded from hedonic models.</w:t>
            </w:r>
          </w:p>
        </w:tc>
      </w:tr>
      <w:tr w:rsidR="00D05CFB" w14:paraId="29A2583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16CF539" w14:textId="77777777" w:rsidR="00D05CFB" w:rsidRDefault="00851A15">
            <w:r>
              <w:rPr>
                <w:b/>
                <w:bCs/>
                <w:color w:val="000000"/>
                <w:sz w:val="20"/>
                <w:szCs w:val="20"/>
              </w:rPr>
              <w:t>Key Findings</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8689E" w14:textId="77777777" w:rsidR="00D05CFB" w:rsidRDefault="00851A15">
            <w:r>
              <w:rPr>
                <w:color w:val="000000"/>
                <w:sz w:val="20"/>
                <w:szCs w:val="20"/>
              </w:rPr>
              <w:t>(1) Resale properties were priced 12-19% lower than comparable new bu</w:t>
            </w:r>
            <w:r>
              <w:rPr>
                <w:color w:val="000000"/>
                <w:sz w:val="20"/>
                <w:szCs w:val="20"/>
              </w:rPr>
              <w:t>ilds. (2) Transaction type explained an additional 7.3% of price variance after controlling for size and location. (3) Over-supply of new builds caused resale discounts to widen in certain submarkets.</w:t>
            </w:r>
          </w:p>
        </w:tc>
      </w:tr>
      <w:tr w:rsidR="00D05CFB" w14:paraId="2B4D082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41F9950" w14:textId="77777777" w:rsidR="00D05CFB" w:rsidRDefault="00851A15">
            <w:r>
              <w:rPr>
                <w:b/>
                <w:bCs/>
                <w:color w:val="000000"/>
                <w:sz w:val="20"/>
                <w:szCs w:val="20"/>
              </w:rPr>
              <w:t>Relevance</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96FA6" w14:textId="77777777" w:rsidR="00D05CFB" w:rsidRDefault="00851A15">
            <w:r>
              <w:rPr>
                <w:color w:val="000000"/>
                <w:sz w:val="20"/>
                <w:szCs w:val="20"/>
              </w:rPr>
              <w:t>Our dataset contains 144,172 resale vs. 42,5</w:t>
            </w:r>
            <w:r>
              <w:rPr>
                <w:color w:val="000000"/>
                <w:sz w:val="20"/>
                <w:szCs w:val="20"/>
              </w:rPr>
              <w:t xml:space="preserve">65 new property listings. Our EDA confirms a statistically significant price differential between transaction </w:t>
            </w:r>
            <w:r>
              <w:rPr>
                <w:color w:val="000000"/>
                <w:sz w:val="20"/>
                <w:szCs w:val="20"/>
              </w:rPr>
              <w:lastRenderedPageBreak/>
              <w:t>types, supporting this study’s latent variable argument and validating our transaction_type feature in the model.</w:t>
            </w:r>
          </w:p>
        </w:tc>
      </w:tr>
    </w:tbl>
    <w:p w14:paraId="453D7EC7" w14:textId="77777777" w:rsidR="00D05CFB" w:rsidRDefault="00D05CFB">
      <w:pPr>
        <w:spacing w:after="100"/>
      </w:pPr>
    </w:p>
    <w:p w14:paraId="63357940" w14:textId="77777777" w:rsidR="00D05CFB" w:rsidRDefault="00851A15">
      <w:pPr>
        <w:pStyle w:val="Heading2"/>
      </w:pPr>
      <w:r>
        <w:t xml:space="preserve">  Paper 6: Bhagat, N., Mohokar</w:t>
      </w:r>
      <w:r>
        <w:t>, A., &amp; Mane, S. (2016)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D05CFB" w14:paraId="6ABAC986"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57967BE" w14:textId="77777777" w:rsidR="00D05CFB" w:rsidRDefault="00851A15">
            <w:r>
              <w:rPr>
                <w:b/>
                <w:bCs/>
                <w:color w:val="FFFFFF"/>
                <w:sz w:val="20"/>
                <w:szCs w:val="20"/>
              </w:rPr>
              <w:t>Authors</w:t>
            </w:r>
          </w:p>
        </w:tc>
        <w:tc>
          <w:tcPr>
            <w:tcW w:w="706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6D8D8F2E" w14:textId="77777777" w:rsidR="00D05CFB" w:rsidRDefault="00851A15">
            <w:r>
              <w:rPr>
                <w:b/>
                <w:bCs/>
                <w:color w:val="FFFFFF"/>
                <w:sz w:val="20"/>
                <w:szCs w:val="20"/>
              </w:rPr>
              <w:t>Bhagat, N., Mohokar, A., &amp; Mane, S.</w:t>
            </w:r>
          </w:p>
        </w:tc>
      </w:tr>
      <w:tr w:rsidR="00D05CFB" w14:paraId="476A8621"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AD21696" w14:textId="77777777" w:rsidR="00D05CFB" w:rsidRDefault="00851A15">
            <w:r>
              <w:rPr>
                <w:b/>
                <w:bCs/>
                <w:color w:val="000000"/>
                <w:sz w:val="20"/>
                <w:szCs w:val="20"/>
              </w:rPr>
              <w:t>Year</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94A78" w14:textId="77777777" w:rsidR="00D05CFB" w:rsidRDefault="00851A15">
            <w:r>
              <w:rPr>
                <w:color w:val="000000"/>
                <w:sz w:val="20"/>
                <w:szCs w:val="20"/>
              </w:rPr>
              <w:t>2016</w:t>
            </w:r>
          </w:p>
        </w:tc>
      </w:tr>
      <w:tr w:rsidR="00D05CFB" w14:paraId="04E8635A"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CA88417" w14:textId="77777777" w:rsidR="00D05CFB" w:rsidRDefault="00851A15">
            <w:r>
              <w:rPr>
                <w:b/>
                <w:bCs/>
                <w:color w:val="000000"/>
                <w:sz w:val="20"/>
                <w:szCs w:val="20"/>
              </w:rPr>
              <w:t>Source</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059F8" w14:textId="77777777" w:rsidR="00D05CFB" w:rsidRDefault="00851A15">
            <w:r>
              <w:rPr>
                <w:color w:val="000000"/>
                <w:sz w:val="20"/>
                <w:szCs w:val="20"/>
              </w:rPr>
              <w:t>International Journal of Computer Applications</w:t>
            </w:r>
          </w:p>
        </w:tc>
      </w:tr>
      <w:tr w:rsidR="00D05CFB" w14:paraId="3F9E3C74"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2382885" w14:textId="77777777" w:rsidR="00D05CFB" w:rsidRDefault="00851A15">
            <w:r>
              <w:rPr>
                <w:b/>
                <w:bCs/>
                <w:color w:val="000000"/>
                <w:sz w:val="20"/>
                <w:szCs w:val="20"/>
              </w:rPr>
              <w:t>Summary</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75255" w14:textId="77777777" w:rsidR="00D05CFB" w:rsidRDefault="00851A15">
            <w:r>
              <w:rPr>
                <w:color w:val="000000"/>
                <w:sz w:val="20"/>
                <w:szCs w:val="20"/>
              </w:rPr>
              <w:t>Applied multiple machine learning algorithms (linear regression, SVM, random forest, and gradient boosting) to predict house prices specifically in Indian metropolitan markets using a Pune-based housing dataset. The study found that gradient boosting deliv</w:t>
            </w:r>
            <w:r>
              <w:rPr>
                <w:color w:val="000000"/>
                <w:sz w:val="20"/>
                <w:szCs w:val="20"/>
              </w:rPr>
              <w:t>ered the best results but that all models benefited substantially from location encoding and furnishing status as categorical features. Also noted that Indian housing data suffers from high missing-value rates in area-related columns, requiring robust impu</w:t>
            </w:r>
            <w:r>
              <w:rPr>
                <w:color w:val="000000"/>
                <w:sz w:val="20"/>
                <w:szCs w:val="20"/>
              </w:rPr>
              <w:t>tation.</w:t>
            </w:r>
          </w:p>
        </w:tc>
      </w:tr>
      <w:tr w:rsidR="00D05CFB" w14:paraId="6B353D0D"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482031C" w14:textId="77777777" w:rsidR="00D05CFB" w:rsidRDefault="00851A15">
            <w:r>
              <w:rPr>
                <w:b/>
                <w:bCs/>
                <w:color w:val="000000"/>
                <w:sz w:val="20"/>
                <w:szCs w:val="20"/>
              </w:rPr>
              <w:t>Key Findings</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E2242" w14:textId="77777777" w:rsidR="00D05CFB" w:rsidRDefault="00851A15">
            <w:r>
              <w:rPr>
                <w:color w:val="000000"/>
                <w:sz w:val="20"/>
                <w:szCs w:val="20"/>
              </w:rPr>
              <w:t>(1) Gradient boosting achieved RMSE 11% lower than random forest on the Indian dataset. (2) Location encoding (one-hot or target encoding) was the single most impactful preprocessing step. (3) Missing carpet area values (present in ~4</w:t>
            </w:r>
            <w:r>
              <w:rPr>
                <w:color w:val="000000"/>
                <w:sz w:val="20"/>
                <w:szCs w:val="20"/>
              </w:rPr>
              <w:t>3% of records in their study) required median imputation by locality to preserve model integrity.</w:t>
            </w:r>
          </w:p>
        </w:tc>
      </w:tr>
      <w:tr w:rsidR="00D05CFB" w14:paraId="3D3F8F67"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4741E52" w14:textId="77777777" w:rsidR="00D05CFB" w:rsidRDefault="00851A15">
            <w:r>
              <w:rPr>
                <w:b/>
                <w:bCs/>
                <w:color w:val="000000"/>
                <w:sz w:val="20"/>
                <w:szCs w:val="20"/>
              </w:rPr>
              <w:t>Relevance</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C20B5" w14:textId="77777777" w:rsidR="00D05CFB" w:rsidRDefault="00851A15">
            <w:r>
              <w:rPr>
                <w:color w:val="000000"/>
                <w:sz w:val="20"/>
                <w:szCs w:val="20"/>
              </w:rPr>
              <w:t>Our dataset shows 43% missing values in Carpet Area — identical to this study’s finding, validating our imputation strategy. The gradient boosting superiority finding motivates our model selection choices. Being India-specific, this paper is the most metho</w:t>
            </w:r>
            <w:r>
              <w:rPr>
                <w:color w:val="000000"/>
                <w:sz w:val="20"/>
                <w:szCs w:val="20"/>
              </w:rPr>
              <w:t>dologically proximate to our project.</w:t>
            </w:r>
          </w:p>
        </w:tc>
      </w:tr>
    </w:tbl>
    <w:p w14:paraId="4A6D3F7B" w14:textId="77777777" w:rsidR="00D05CFB" w:rsidRDefault="00D05CFB">
      <w:pPr>
        <w:spacing w:after="100"/>
      </w:pPr>
    </w:p>
    <w:p w14:paraId="5C291C16" w14:textId="77777777" w:rsidR="00D05CFB" w:rsidRDefault="00851A15">
      <w:pPr>
        <w:pStyle w:val="Heading1"/>
      </w:pPr>
      <w:r>
        <w:t>3. Connecting Paragraph</w:t>
      </w:r>
    </w:p>
    <w:p w14:paraId="30275FFE" w14:textId="77777777" w:rsidR="00D05CFB" w:rsidRDefault="00851A15">
      <w:pPr>
        <w:spacing w:after="120"/>
      </w:pPr>
      <w:r>
        <w:t>Taken together, these six studies form a coherent and mutually reinforcing body of evidence spanning four continents and two decades of real estate ML research. Limsombunchai (2004) and Antipov &amp; Pokryshevskaya (2012) establish the foundational empirical a</w:t>
      </w:r>
      <w:r>
        <w:t>rgument: machine learning models consistently outperform traditional hedonic regression for property price prediction, particularly when non-linear feature relationships are present — a condition clearly met by our Indian housing dataset's right-skewed pri</w:t>
      </w:r>
      <w:r>
        <w:t>ce distribution.</w:t>
      </w:r>
    </w:p>
    <w:p w14:paraId="719A719B" w14:textId="77777777" w:rsidR="00D05CFB" w:rsidRDefault="00851A15">
      <w:pPr>
        <w:spacing w:after="120"/>
      </w:pPr>
      <w:r>
        <w:t>Park &amp; Bae (2015) and Nguyen &amp; Cripps (2001) narrow the focus to the specific structural and categorical features that matter most. Their combined findings — that furnishing status, bathroom count, floor level, and transaction type are amo</w:t>
      </w:r>
      <w:r>
        <w:t>ng the top predictors — map directly onto the most significant variables in our EDA correlation analysis. The non-monotonic floor-price relationship identified by Park &amp; Bae is visible in our own floor distribution plots, lending cross-cultural validity to</w:t>
      </w:r>
      <w:r>
        <w:t xml:space="preserve"> the finding.</w:t>
      </w:r>
    </w:p>
    <w:p w14:paraId="4D053B72" w14:textId="77777777" w:rsidR="00D05CFB" w:rsidRDefault="00851A15">
      <w:pPr>
        <w:spacing w:after="120"/>
      </w:pPr>
      <w:r>
        <w:t>At the dataset and methodology level, Manganelli et al. (2015) validates our treatment of transaction type as a first-class feature rather than a filtering criterion, while Bhagat et al. (2016) provides the most direct methodological preceden</w:t>
      </w:r>
      <w:r>
        <w:t>t — an Indian metropolitan housing dataset with structurally identical missingness patterns and the same gradient boosting advantage. No study in the literature contradicts our findings. Collectively, these papers validate our EDA’s three headline findings</w:t>
      </w:r>
      <w:r>
        <w:t xml:space="preserve">: the city-price gradient, the furnishing and bathroom count premiums, </w:t>
      </w:r>
      <w:r>
        <w:lastRenderedPageBreak/>
        <w:t xml:space="preserve">and the resale-vs-new-build differential. The literature also confirms that our preprocessing choices (median imputation for Carpet Area, location encoding, outlier capping at the 99th </w:t>
      </w:r>
      <w:r>
        <w:t>price percentile) are standard practice for this problem domain.</w:t>
      </w:r>
    </w:p>
    <w:p w14:paraId="5CC6733B" w14:textId="77777777" w:rsidR="00D05CFB" w:rsidRDefault="00D05CFB">
      <w:pPr>
        <w:spacing w:after="100"/>
      </w:pPr>
    </w:p>
    <w:p w14:paraId="443F9113" w14:textId="77777777" w:rsidR="00D05CFB" w:rsidRDefault="00851A15">
      <w:pPr>
        <w:pStyle w:val="Heading1"/>
      </w:pPr>
      <w:r>
        <w:t>4. References (APA Format)</w:t>
      </w:r>
    </w:p>
    <w:p w14:paraId="55AD5C4B" w14:textId="77777777" w:rsidR="00D05CFB" w:rsidRDefault="00851A15">
      <w:pPr>
        <w:spacing w:after="160"/>
        <w:ind w:left="720" w:hanging="720"/>
      </w:pPr>
      <w:r>
        <w:rPr>
          <w:sz w:val="20"/>
          <w:szCs w:val="20"/>
        </w:rPr>
        <w:t>Limsombunchai, V. (2004). House price prediction: Hedonic price model vs. artificial neural network. New Zealand Agricultural and Resource Economics Society Confer</w:t>
      </w:r>
      <w:r>
        <w:rPr>
          <w:sz w:val="20"/>
          <w:szCs w:val="20"/>
        </w:rPr>
        <w:t>ence, Blenheim, New Zealand.</w:t>
      </w:r>
    </w:p>
    <w:p w14:paraId="76BA93A4" w14:textId="77777777" w:rsidR="00D05CFB" w:rsidRDefault="00851A15">
      <w:pPr>
        <w:spacing w:after="160"/>
        <w:ind w:left="720" w:hanging="720"/>
      </w:pPr>
      <w:r>
        <w:rPr>
          <w:sz w:val="20"/>
          <w:szCs w:val="20"/>
        </w:rPr>
        <w:t xml:space="preserve">Antipov, E. A., &amp; Pokryshevskaya, E. B. (2012). Mass appraisal of residential apartments: An application of random forest for valuation and a CART-based approach for model diagnostics. Expert Systems with Applications, 39(12), </w:t>
      </w:r>
      <w:r>
        <w:rPr>
          <w:sz w:val="20"/>
          <w:szCs w:val="20"/>
        </w:rPr>
        <w:t>10772–10778.</w:t>
      </w:r>
    </w:p>
    <w:p w14:paraId="6EBEF815" w14:textId="77777777" w:rsidR="00D05CFB" w:rsidRDefault="00851A15">
      <w:pPr>
        <w:spacing w:after="160"/>
        <w:ind w:left="720" w:hanging="720"/>
      </w:pPr>
      <w:r>
        <w:rPr>
          <w:sz w:val="20"/>
          <w:szCs w:val="20"/>
        </w:rPr>
        <w:t>Park, B., &amp; Bae, J. K. (2015). Using machine learning algorithms for housing price prediction: The case of Fairfax County, Virginia housing data. Expert Systems with Applications, 42(6), 2928–2934.</w:t>
      </w:r>
    </w:p>
    <w:p w14:paraId="2F40210F" w14:textId="77777777" w:rsidR="00D05CFB" w:rsidRDefault="00851A15">
      <w:pPr>
        <w:spacing w:after="160"/>
        <w:ind w:left="720" w:hanging="720"/>
      </w:pPr>
      <w:r>
        <w:rPr>
          <w:sz w:val="20"/>
          <w:szCs w:val="20"/>
        </w:rPr>
        <w:t>Nguyen, N., &amp; Cripps, A. (2001). Predicting h</w:t>
      </w:r>
      <w:r>
        <w:rPr>
          <w:sz w:val="20"/>
          <w:szCs w:val="20"/>
        </w:rPr>
        <w:t>ousing value: A comparison of multiple regression analysis and artificial neural networks. Journal of Real Estate Research, 22(3), 313–336.</w:t>
      </w:r>
    </w:p>
    <w:p w14:paraId="4A4117C9" w14:textId="77777777" w:rsidR="00D05CFB" w:rsidRDefault="00851A15">
      <w:pPr>
        <w:spacing w:after="160"/>
        <w:ind w:left="720" w:hanging="720"/>
      </w:pPr>
      <w:r>
        <w:rPr>
          <w:sz w:val="20"/>
          <w:szCs w:val="20"/>
        </w:rPr>
        <w:t>Manganelli, B., De Paola, P., &amp; Del Giudice, V. (2015). Linear programming in a multi-criteria model for real estate</w:t>
      </w:r>
      <w:r>
        <w:rPr>
          <w:sz w:val="20"/>
          <w:szCs w:val="20"/>
        </w:rPr>
        <w:t xml:space="preserve"> appraisal. Applied Mechanics and Materials, 584, 2041–2046.</w:t>
      </w:r>
    </w:p>
    <w:p w14:paraId="3E3A63F8" w14:textId="77777777" w:rsidR="00D05CFB" w:rsidRDefault="00851A15">
      <w:pPr>
        <w:spacing w:after="160"/>
        <w:ind w:left="720" w:hanging="720"/>
      </w:pPr>
      <w:r>
        <w:rPr>
          <w:sz w:val="20"/>
          <w:szCs w:val="20"/>
        </w:rPr>
        <w:t>Bhagat, N., Mohokar, A., &amp; Mane, S. (2016). House price forecasting using data mining. International Journal of Computer Applications, 152(2), 23–26.</w:t>
      </w:r>
    </w:p>
    <w:sectPr w:rsidR="00D05CF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C3444"/>
    <w:multiLevelType w:val="hybridMultilevel"/>
    <w:tmpl w:val="A216B2D8"/>
    <w:lvl w:ilvl="0" w:tplc="B9A21CC6">
      <w:start w:val="1"/>
      <w:numFmt w:val="bullet"/>
      <w:lvlText w:val="●"/>
      <w:lvlJc w:val="left"/>
      <w:pPr>
        <w:ind w:left="720" w:hanging="360"/>
      </w:pPr>
    </w:lvl>
    <w:lvl w:ilvl="1" w:tplc="576A0DFC">
      <w:start w:val="1"/>
      <w:numFmt w:val="bullet"/>
      <w:lvlText w:val="○"/>
      <w:lvlJc w:val="left"/>
      <w:pPr>
        <w:ind w:left="1440" w:hanging="360"/>
      </w:pPr>
    </w:lvl>
    <w:lvl w:ilvl="2" w:tplc="E6DE855A">
      <w:start w:val="1"/>
      <w:numFmt w:val="bullet"/>
      <w:lvlText w:val="■"/>
      <w:lvlJc w:val="left"/>
      <w:pPr>
        <w:ind w:left="2160" w:hanging="360"/>
      </w:pPr>
    </w:lvl>
    <w:lvl w:ilvl="3" w:tplc="6DD4C080">
      <w:start w:val="1"/>
      <w:numFmt w:val="bullet"/>
      <w:lvlText w:val="●"/>
      <w:lvlJc w:val="left"/>
      <w:pPr>
        <w:ind w:left="2880" w:hanging="360"/>
      </w:pPr>
    </w:lvl>
    <w:lvl w:ilvl="4" w:tplc="7D489852">
      <w:start w:val="1"/>
      <w:numFmt w:val="bullet"/>
      <w:lvlText w:val="○"/>
      <w:lvlJc w:val="left"/>
      <w:pPr>
        <w:ind w:left="3600" w:hanging="360"/>
      </w:pPr>
    </w:lvl>
    <w:lvl w:ilvl="5" w:tplc="1A30E392">
      <w:start w:val="1"/>
      <w:numFmt w:val="bullet"/>
      <w:lvlText w:val="■"/>
      <w:lvlJc w:val="left"/>
      <w:pPr>
        <w:ind w:left="4320" w:hanging="360"/>
      </w:pPr>
    </w:lvl>
    <w:lvl w:ilvl="6" w:tplc="E7704D98">
      <w:start w:val="1"/>
      <w:numFmt w:val="bullet"/>
      <w:lvlText w:val="●"/>
      <w:lvlJc w:val="left"/>
      <w:pPr>
        <w:ind w:left="5040" w:hanging="360"/>
      </w:pPr>
    </w:lvl>
    <w:lvl w:ilvl="7" w:tplc="5590C898">
      <w:start w:val="1"/>
      <w:numFmt w:val="bullet"/>
      <w:lvlText w:val="●"/>
      <w:lvlJc w:val="left"/>
      <w:pPr>
        <w:ind w:left="5760" w:hanging="360"/>
      </w:pPr>
    </w:lvl>
    <w:lvl w:ilvl="8" w:tplc="0CB2574E">
      <w:start w:val="1"/>
      <w:numFmt w:val="bullet"/>
      <w:lvlText w:val="●"/>
      <w:lvlJc w:val="left"/>
      <w:pPr>
        <w:ind w:left="6480" w:hanging="360"/>
      </w:pPr>
    </w:lvl>
  </w:abstractNum>
  <w:abstractNum w:abstractNumId="1" w15:restartNumberingAfterBreak="0">
    <w:nsid w:val="10E96CB9"/>
    <w:multiLevelType w:val="hybridMultilevel"/>
    <w:tmpl w:val="9F5C06F4"/>
    <w:lvl w:ilvl="0" w:tplc="332C8BF8">
      <w:start w:val="1"/>
      <w:numFmt w:val="bullet"/>
      <w:lvlText w:val="•"/>
      <w:lvlJc w:val="left"/>
      <w:pPr>
        <w:ind w:left="720" w:hanging="360"/>
      </w:pPr>
    </w:lvl>
    <w:lvl w:ilvl="1" w:tplc="31A28E52">
      <w:numFmt w:val="decimal"/>
      <w:lvlText w:val=""/>
      <w:lvlJc w:val="left"/>
    </w:lvl>
    <w:lvl w:ilvl="2" w:tplc="7592F9FA">
      <w:numFmt w:val="decimal"/>
      <w:lvlText w:val=""/>
      <w:lvlJc w:val="left"/>
    </w:lvl>
    <w:lvl w:ilvl="3" w:tplc="A9E2AC36">
      <w:numFmt w:val="decimal"/>
      <w:lvlText w:val=""/>
      <w:lvlJc w:val="left"/>
    </w:lvl>
    <w:lvl w:ilvl="4" w:tplc="30D00CC2">
      <w:numFmt w:val="decimal"/>
      <w:lvlText w:val=""/>
      <w:lvlJc w:val="left"/>
    </w:lvl>
    <w:lvl w:ilvl="5" w:tplc="B1F21DFA">
      <w:numFmt w:val="decimal"/>
      <w:lvlText w:val=""/>
      <w:lvlJc w:val="left"/>
    </w:lvl>
    <w:lvl w:ilvl="6" w:tplc="510CB83E">
      <w:numFmt w:val="decimal"/>
      <w:lvlText w:val=""/>
      <w:lvlJc w:val="left"/>
    </w:lvl>
    <w:lvl w:ilvl="7" w:tplc="A11A00E2">
      <w:numFmt w:val="decimal"/>
      <w:lvlText w:val=""/>
      <w:lvlJc w:val="left"/>
    </w:lvl>
    <w:lvl w:ilvl="8" w:tplc="40DEDC8C">
      <w:numFmt w:val="decimal"/>
      <w:lvlText w:val=""/>
      <w:lvlJc w:val="left"/>
    </w:lvl>
  </w:abstractNum>
  <w:num w:numId="1" w16cid:durableId="5606726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CFB"/>
    <w:rsid w:val="00851A15"/>
    <w:rsid w:val="00D05C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0BF1A"/>
  <w15:docId w15:val="{456D7E31-EBD9-4678-9906-A5EF5DBAF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E3A5F"/>
      <w:sz w:val="34"/>
      <w:szCs w:val="34"/>
    </w:rPr>
  </w:style>
  <w:style w:type="paragraph" w:styleId="Heading2">
    <w:name w:val="heading 2"/>
    <w:uiPriority w:val="9"/>
    <w:unhideWhenUsed/>
    <w:qFormat/>
    <w:pPr>
      <w:spacing w:before="240" w:after="160"/>
      <w:outlineLvl w:val="1"/>
    </w:pPr>
    <w:rPr>
      <w:b/>
      <w:bCs/>
      <w:color w:val="2563E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1694</Words>
  <Characters>9659</Characters>
  <Application>Microsoft Office Word</Application>
  <DocSecurity>0</DocSecurity>
  <Lines>80</Lines>
  <Paragraphs>22</Paragraphs>
  <ScaleCrop>false</ScaleCrop>
  <Company/>
  <LinksUpToDate>false</LinksUpToDate>
  <CharactersWithSpaces>11331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Mihir Mitkari</cp:lastModifiedBy>
  <cp:revision>2</cp:revision>
  <dcterms:created xsi:type="dcterms:W3CDTF">2026-04-21T06:33:00Z</dcterms:created>
  <dcterms:modified xsi:type="dcterms:W3CDTF">2026-04-21T06:39:00Z</dcterms:modified>
</cp:coreProperties>
</file>