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22CE1" w:rsidRDefault="004F5A01">
      <w:pPr>
        <w:pStyle w:val="normal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i/>
          <w:sz w:val="28"/>
        </w:rPr>
        <w:t>Shifting the Cultural Narrative in the U.S. Housing Crises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City Life/Vida Urbana 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 xml:space="preserve">Project Narrative 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City Life/Vida Urbana is a grassroots community organization committed to fighting for racial, social and economic justice and gender equality by building working class power. We promote individual empowerment, develop community leaders and build collectiv</w:t>
      </w:r>
      <w:r>
        <w:rPr>
          <w:rFonts w:ascii="Times New Roman" w:eastAsia="Times New Roman" w:hAnsi="Times New Roman" w:cs="Times New Roman"/>
          <w:sz w:val="24"/>
        </w:rPr>
        <w:t>e power to effect systemic change and transform society.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Team members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Mike </w:t>
      </w:r>
      <w:proofErr w:type="spellStart"/>
      <w:r>
        <w:rPr>
          <w:rFonts w:ascii="Times New Roman" w:eastAsia="Times New Roman" w:hAnsi="Times New Roman" w:cs="Times New Roman"/>
          <w:sz w:val="24"/>
        </w:rPr>
        <w:t>Leyba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City Life/Vida Urbana communications coordinator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Terry Marshall - community organizer/founder of Intelligent Mischief (a civic media hack lab)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Nene </w:t>
      </w:r>
      <w:proofErr w:type="spellStart"/>
      <w:r>
        <w:rPr>
          <w:rFonts w:ascii="Times New Roman" w:eastAsia="Times New Roman" w:hAnsi="Times New Roman" w:cs="Times New Roman"/>
          <w:sz w:val="24"/>
        </w:rPr>
        <w:t>Igietseme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youth worker</w:t>
      </w:r>
      <w:r>
        <w:rPr>
          <w:rFonts w:ascii="Times New Roman" w:eastAsia="Times New Roman" w:hAnsi="Times New Roman" w:cs="Times New Roman"/>
          <w:sz w:val="24"/>
        </w:rPr>
        <w:t>/MIT urban planning student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Ruth </w:t>
      </w:r>
      <w:proofErr w:type="spellStart"/>
      <w:r>
        <w:rPr>
          <w:rFonts w:ascii="Times New Roman" w:eastAsia="Times New Roman" w:hAnsi="Times New Roman" w:cs="Times New Roman"/>
          <w:sz w:val="24"/>
        </w:rPr>
        <w:t>Schappelt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former case manager/MIT urban planning student</w:t>
      </w:r>
    </w:p>
    <w:p w:rsidR="00922CE1" w:rsidRDefault="004F5A01">
      <w:pPr>
        <w:pStyle w:val="normal0"/>
      </w:pPr>
      <w:proofErr w:type="spellStart"/>
      <w:r>
        <w:rPr>
          <w:rFonts w:ascii="Times New Roman" w:eastAsia="Times New Roman" w:hAnsi="Times New Roman" w:cs="Times New Roman"/>
          <w:sz w:val="24"/>
        </w:rPr>
        <w:t>Dara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Yaskil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- former housing advocate/MIT urban planning student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Background: The issue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City Life/Vida Urbana has been supporting tenant organizing to preserve hous</w:t>
      </w:r>
      <w:r>
        <w:rPr>
          <w:rFonts w:ascii="Times New Roman" w:eastAsia="Times New Roman" w:hAnsi="Times New Roman" w:cs="Times New Roman"/>
          <w:sz w:val="24"/>
        </w:rPr>
        <w:t>ing affordability and resist displacement since their inception in the 1970s. Since the foreclosure crises post-2007, CLVU has worked with tenants and homeowners facing eviction and foreclosure to stay in their homes. Now that the numbers of foreclosure ha</w:t>
      </w:r>
      <w:r>
        <w:rPr>
          <w:rFonts w:ascii="Times New Roman" w:eastAsia="Times New Roman" w:hAnsi="Times New Roman" w:cs="Times New Roman"/>
          <w:sz w:val="24"/>
        </w:rPr>
        <w:t>s gone down, CLVU realizes they must also challenge the popular narrative that the housing and foreclosure crisis is over. CLVU asserts that there is a new housing bubble forming and a return to “bubble economics” is not the solution.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Project Goals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The ul</w:t>
      </w:r>
      <w:r>
        <w:rPr>
          <w:rFonts w:ascii="Times New Roman" w:eastAsia="Times New Roman" w:hAnsi="Times New Roman" w:cs="Times New Roman"/>
          <w:sz w:val="24"/>
        </w:rPr>
        <w:t xml:space="preserve">timate impact of this project is to promote the organizational goals of promoting the use of housing for people, not profit; a vision of </w:t>
      </w:r>
      <w:proofErr w:type="spellStart"/>
      <w:r>
        <w:rPr>
          <w:rFonts w:ascii="Times New Roman" w:eastAsia="Times New Roman" w:hAnsi="Times New Roman" w:cs="Times New Roman"/>
          <w:sz w:val="24"/>
        </w:rPr>
        <w:t>decommodification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housing and other human needs. To get there, we know we need to create a new narrative about housi</w:t>
      </w:r>
      <w:r>
        <w:rPr>
          <w:rFonts w:ascii="Times New Roman" w:eastAsia="Times New Roman" w:hAnsi="Times New Roman" w:cs="Times New Roman"/>
          <w:sz w:val="24"/>
        </w:rPr>
        <w:t>ng that combats the dominant one. We specifically need a narrative that ties together CLVU’s three campaign areas: 1) an anti-investor campaign – many of foreclosed properties are being bought up en masse by investors looking to sell the houses when land v</w:t>
      </w:r>
      <w:r>
        <w:rPr>
          <w:rFonts w:ascii="Times New Roman" w:eastAsia="Times New Roman" w:hAnsi="Times New Roman" w:cs="Times New Roman"/>
          <w:sz w:val="24"/>
        </w:rPr>
        <w:t xml:space="preserve">alues rise so they can turn a profit or raise rents to displace current communities, 2) fighting gentrification in the most vulnerable Boston neighborhoods, and 3) a post-foreclosure eviction defense campaign to keep former homeowners in their homes past </w:t>
      </w:r>
      <w:r>
        <w:rPr>
          <w:rFonts w:ascii="Times New Roman" w:eastAsia="Times New Roman" w:hAnsi="Times New Roman" w:cs="Times New Roman"/>
          <w:sz w:val="24"/>
        </w:rPr>
        <w:lastRenderedPageBreak/>
        <w:t>f</w:t>
      </w:r>
      <w:r>
        <w:rPr>
          <w:rFonts w:ascii="Times New Roman" w:eastAsia="Times New Roman" w:hAnsi="Times New Roman" w:cs="Times New Roman"/>
          <w:sz w:val="24"/>
        </w:rPr>
        <w:t>oreclosure with the goal of a long-term and sustainable solution. This project should also be empowering to the CLVU membership and leadership, tie in personal narratives and powerful data points, and reinvigorate the movement!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Design project candidates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i/>
          <w:sz w:val="24"/>
        </w:rPr>
        <w:t>T</w:t>
      </w:r>
      <w:r>
        <w:rPr>
          <w:rFonts w:ascii="Times New Roman" w:eastAsia="Times New Roman" w:hAnsi="Times New Roman" w:cs="Times New Roman"/>
          <w:i/>
          <w:sz w:val="24"/>
        </w:rPr>
        <w:t>his list is the product of multiple brainstorms that occurred over the span of two weeks:</w:t>
      </w:r>
    </w:p>
    <w:p w:rsidR="00922CE1" w:rsidRDefault="004F5A01">
      <w:pPr>
        <w:pStyle w:val="normal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Like a card magic trick, the idea of the fair market is deceptively convincing. However, with card tricks, we continue to be amazed by magic even when we know there a</w:t>
      </w:r>
      <w:r>
        <w:rPr>
          <w:rFonts w:ascii="Times New Roman" w:eastAsia="Times New Roman" w:hAnsi="Times New Roman" w:cs="Times New Roman"/>
          <w:sz w:val="24"/>
        </w:rPr>
        <w:t>re slights of hands that hide the truth. With housing, the results of the deception are much more devastating. There is no magic; the fair market does not exist. It is all deception and slights of hand.</w:t>
      </w:r>
    </w:p>
    <w:p w:rsidR="00922CE1" w:rsidRDefault="004F5A01">
      <w:pPr>
        <w:pStyle w:val="normal0"/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Could set up magic trick tables at actions?</w:t>
      </w:r>
    </w:p>
    <w:p w:rsidR="00922CE1" w:rsidRDefault="004F5A01">
      <w:pPr>
        <w:pStyle w:val="normal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Carnival </w:t>
      </w:r>
      <w:r>
        <w:rPr>
          <w:rFonts w:ascii="Times New Roman" w:eastAsia="Times New Roman" w:hAnsi="Times New Roman" w:cs="Times New Roman"/>
          <w:sz w:val="24"/>
        </w:rPr>
        <w:t>games promise a fun time and a big prize. However, how many of us have ever won a carnival game? How many have actually gotten the big stuffed animal prize? Very few. Why? Because the carnival games are rigged so that people don’t win. Similarly, the housi</w:t>
      </w:r>
      <w:r>
        <w:rPr>
          <w:rFonts w:ascii="Times New Roman" w:eastAsia="Times New Roman" w:hAnsi="Times New Roman" w:cs="Times New Roman"/>
          <w:sz w:val="24"/>
        </w:rPr>
        <w:t>ng market promises a giant reward, but the system is set up so that people don’t win. Unlike a carnival game, however, people’s lives savings and hard work go into the process of “playing the game.” Well, a fair market is supposed to be fair; not a carniva</w:t>
      </w:r>
      <w:r>
        <w:rPr>
          <w:rFonts w:ascii="Times New Roman" w:eastAsia="Times New Roman" w:hAnsi="Times New Roman" w:cs="Times New Roman"/>
          <w:sz w:val="24"/>
        </w:rPr>
        <w:t>l game.</w:t>
      </w:r>
    </w:p>
    <w:p w:rsidR="00922CE1" w:rsidRDefault="004F5A01">
      <w:pPr>
        <w:pStyle w:val="normal0"/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Could create a carnival at an eviction vigil or at Dewey Square or in front of Fannie/Freddie offices</w:t>
      </w:r>
    </w:p>
    <w:p w:rsidR="00922CE1" w:rsidRDefault="004F5A01">
      <w:pPr>
        <w:pStyle w:val="normal0"/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Exaggerate and give hula hoops to bankers and tiny hoops to regular people</w:t>
      </w:r>
    </w:p>
    <w:p w:rsidR="00922CE1" w:rsidRDefault="004F5A01">
      <w:pPr>
        <w:pStyle w:val="normal0"/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Game of musical chairs - chairs disappearing</w:t>
      </w:r>
    </w:p>
    <w:p w:rsidR="00922CE1" w:rsidRDefault="004F5A01">
      <w:pPr>
        <w:pStyle w:val="normal0"/>
        <w:numPr>
          <w:ilvl w:val="1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Hall of mirrors to see how distorting the effects of the market can be</w:t>
      </w:r>
    </w:p>
    <w:p w:rsidR="00922CE1" w:rsidRDefault="004F5A01">
      <w:pPr>
        <w:pStyle w:val="normal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What would it take to re-launch the Occupy movement? How could it be a grassroots movement led by people of color? The membership of CLVU might be able to best answer that question if w</w:t>
      </w:r>
      <w:r>
        <w:rPr>
          <w:rFonts w:ascii="Times New Roman" w:eastAsia="Times New Roman" w:hAnsi="Times New Roman" w:cs="Times New Roman"/>
          <w:sz w:val="24"/>
        </w:rPr>
        <w:t>e facilitated a “</w:t>
      </w:r>
      <w:proofErr w:type="spellStart"/>
      <w:r>
        <w:rPr>
          <w:rFonts w:ascii="Times New Roman" w:eastAsia="Times New Roman" w:hAnsi="Times New Roman" w:cs="Times New Roman"/>
          <w:sz w:val="24"/>
        </w:rPr>
        <w:t>hackcupy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” [hack Occupy] session. Participants would be able to address the failings of the Occupy movement and perhaps create something more sustainable that would make a statement about capitalism and the </w:t>
      </w:r>
      <w:proofErr w:type="spellStart"/>
      <w:r>
        <w:rPr>
          <w:rFonts w:ascii="Times New Roman" w:eastAsia="Times New Roman" w:hAnsi="Times New Roman" w:cs="Times New Roman"/>
          <w:sz w:val="24"/>
        </w:rPr>
        <w:t>decommodification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of people’s nee</w:t>
      </w:r>
      <w:r>
        <w:rPr>
          <w:rFonts w:ascii="Times New Roman" w:eastAsia="Times New Roman" w:hAnsi="Times New Roman" w:cs="Times New Roman"/>
          <w:sz w:val="24"/>
        </w:rPr>
        <w:t>ds</w:t>
      </w:r>
    </w:p>
    <w:p w:rsidR="00922CE1" w:rsidRDefault="004F5A01">
      <w:pPr>
        <w:pStyle w:val="normal0"/>
        <w:numPr>
          <w:ilvl w:val="0"/>
          <w:numId w:val="2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1% versus the 99% is a strong meme that sprang from the Occupy movement. Could we re-appropriate/revitalize that meme for the housing crisis? Could we use a powerful data point (such as the one the undergirds the 99% meme) to create a meme that supp</w:t>
      </w:r>
      <w:r>
        <w:rPr>
          <w:rFonts w:ascii="Times New Roman" w:eastAsia="Times New Roman" w:hAnsi="Times New Roman" w:cs="Times New Roman"/>
          <w:sz w:val="24"/>
        </w:rPr>
        <w:t xml:space="preserve">orts our narrative? Are </w:t>
      </w:r>
      <w:proofErr w:type="gramStart"/>
      <w:r>
        <w:rPr>
          <w:rFonts w:ascii="Times New Roman" w:eastAsia="Times New Roman" w:hAnsi="Times New Roman" w:cs="Times New Roman"/>
          <w:sz w:val="24"/>
        </w:rPr>
        <w:t>there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supporting data visualizations that we could create?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There were also other, less fleshed out ideas that we discussed: 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Pop-up housing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PSA of houses just wanting to be homes (maybe use the 6:1 housing stock to homeless populat</w:t>
      </w:r>
      <w:r>
        <w:rPr>
          <w:rFonts w:ascii="Times New Roman" w:eastAsia="Times New Roman" w:hAnsi="Times New Roman" w:cs="Times New Roman"/>
          <w:sz w:val="24"/>
        </w:rPr>
        <w:t>ion stat?) Is housing for People or for profits? (like “Does capitalism work” art installation piece)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Partner with Artists: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Projections of people in houses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“Does capitalism work?”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 home is central to a person’s life -- no matter who you are. What if we pa</w:t>
      </w:r>
      <w:r>
        <w:rPr>
          <w:rFonts w:ascii="Times New Roman" w:eastAsia="Times New Roman" w:hAnsi="Times New Roman" w:cs="Times New Roman"/>
          <w:sz w:val="24"/>
        </w:rPr>
        <w:t>ssed out papers shaped as a home and people could draw and write about what home means to them. This would help convey the value of ‘home’ in a person’s life, the connection one has to their home and the identity that is formed from ‘home.’ We can tie this</w:t>
      </w:r>
      <w:r>
        <w:rPr>
          <w:rFonts w:ascii="Times New Roman" w:eastAsia="Times New Roman" w:hAnsi="Times New Roman" w:cs="Times New Roman"/>
          <w:sz w:val="24"/>
        </w:rPr>
        <w:t xml:space="preserve"> into a larger narrative.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People who do the work get pushed out (capitalism is actually about the people “doing the work” getting the reward) This is a Plutocracy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Incomes </w:t>
      </w:r>
      <w:proofErr w:type="spellStart"/>
      <w:r>
        <w:rPr>
          <w:rFonts w:ascii="Times New Roman" w:eastAsia="Times New Roman" w:hAnsi="Times New Roman" w:cs="Times New Roman"/>
          <w:sz w:val="24"/>
        </w:rPr>
        <w:t>declining+Increasing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housing values = contradictions - if housing values continue to rise - 90% of people who work in East Boston  will be pushed out in 4 years; This is your problem - if you fall within these income brackets; you can’t live here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>eed a sense of crisis to gain a sense of Agency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Grievance + Sense of Power + Sense of Righteousness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Families vs. Flippers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10 commandments of housing justice - solidarity economy version of the housing market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The system doesn’t work without you</w:t>
      </w:r>
    </w:p>
    <w:p w:rsidR="00922CE1" w:rsidRDefault="004F5A01">
      <w:pPr>
        <w:pStyle w:val="normal0"/>
        <w:numPr>
          <w:ilvl w:val="0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Explaining t</w:t>
      </w:r>
      <w:r>
        <w:rPr>
          <w:rFonts w:ascii="Times New Roman" w:eastAsia="Times New Roman" w:hAnsi="Times New Roman" w:cs="Times New Roman"/>
          <w:sz w:val="24"/>
        </w:rPr>
        <w:t>he Process/timeline (it’s part of a big cycle):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foreclosure/eviction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investors come in</w:t>
      </w:r>
    </w:p>
    <w:p w:rsidR="00922CE1" w:rsidRDefault="004F5A01">
      <w:pPr>
        <w:pStyle w:val="normal0"/>
        <w:numPr>
          <w:ilvl w:val="1"/>
          <w:numId w:val="1"/>
        </w:numPr>
        <w:ind w:hanging="359"/>
        <w:contextualSpacing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gentrification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Project Proposal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The strongest idea came for joining our first two ideas: we will work towards a large Carnival event in the Spring that has games and activities that link the foreclosure crisis, markets, and capitalism to a rigged game that we all play. The Magician will </w:t>
      </w:r>
      <w:r>
        <w:rPr>
          <w:rFonts w:ascii="Times New Roman" w:eastAsia="Times New Roman" w:hAnsi="Times New Roman" w:cs="Times New Roman"/>
          <w:sz w:val="24"/>
        </w:rPr>
        <w:t xml:space="preserve">play a role at the Carnival of making people believe in magic of the games - i.e., deceiving the middle class. 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lastRenderedPageBreak/>
        <w:t>For the fall deliverable, we plan to hold two “mini-carnivals” in East Boston and Dorchester, sites facing increasing pressure of foreclosure a</w:t>
      </w:r>
      <w:r>
        <w:rPr>
          <w:rFonts w:ascii="Times New Roman" w:eastAsia="Times New Roman" w:hAnsi="Times New Roman" w:cs="Times New Roman"/>
          <w:sz w:val="24"/>
        </w:rPr>
        <w:t xml:space="preserve">nd gentrification. The events will serve a dual purpose: 1) increasing visibility and creating buy in for the larger event in the Spring and 2) creating a co-design process that includes CLVU members and potential members to gauge their response/reactions </w:t>
      </w:r>
      <w:r>
        <w:rPr>
          <w:rFonts w:ascii="Times New Roman" w:eastAsia="Times New Roman" w:hAnsi="Times New Roman" w:cs="Times New Roman"/>
          <w:sz w:val="24"/>
        </w:rPr>
        <w:t xml:space="preserve">to the narrative created by linking the housing market and system to carnival games. 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 xml:space="preserve">Part of our deliverable will also be a media/implementation strategy for the larger event in the </w:t>
      </w:r>
      <w:proofErr w:type="gramStart"/>
      <w:r>
        <w:rPr>
          <w:rFonts w:ascii="Times New Roman" w:eastAsia="Times New Roman" w:hAnsi="Times New Roman" w:cs="Times New Roman"/>
          <w:sz w:val="24"/>
        </w:rPr>
        <w:t>Spring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This might include a website, talking points, an </w:t>
      </w:r>
      <w:proofErr w:type="spellStart"/>
      <w:r>
        <w:rPr>
          <w:rFonts w:ascii="Times New Roman" w:eastAsia="Times New Roman" w:hAnsi="Times New Roman" w:cs="Times New Roman"/>
          <w:sz w:val="24"/>
        </w:rPr>
        <w:t>instagram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/vine </w:t>
      </w:r>
      <w:r>
        <w:rPr>
          <w:rFonts w:ascii="Times New Roman" w:eastAsia="Times New Roman" w:hAnsi="Times New Roman" w:cs="Times New Roman"/>
          <w:sz w:val="24"/>
        </w:rPr>
        <w:t>strategy, etc. - whatever makes the most sense as we continue to co-create.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8"/>
        </w:rPr>
        <w:t>Timeline: Key Activities and Roles</w:t>
      </w:r>
    </w:p>
    <w:p w:rsidR="00922CE1" w:rsidRDefault="00922CE1">
      <w:pPr>
        <w:pStyle w:val="normal0"/>
      </w:pPr>
    </w:p>
    <w:tbl>
      <w:tblPr>
        <w:tblW w:w="129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0"/>
        <w:gridCol w:w="2970"/>
        <w:gridCol w:w="900"/>
        <w:gridCol w:w="810"/>
        <w:gridCol w:w="1260"/>
        <w:gridCol w:w="1080"/>
        <w:gridCol w:w="1170"/>
        <w:gridCol w:w="1170"/>
        <w:gridCol w:w="1350"/>
      </w:tblGrid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Phase I:  Project Planning and Design</w:t>
            </w: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 xml:space="preserve"> 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ind w:right="-3344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  <w:ind w:right="-3344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Site visit, Brainstorm, Project Proposal and MOU)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Mike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Nene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Terry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Ruth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ind w:right="-3344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Dara</w:t>
            </w:r>
            <w:proofErr w:type="spellEnd"/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First Site Visit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The Co-design team met at CLVU and had a session exploring current dominant narratives, narratives we believed, and fissures in the narrative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 3rd 10am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1pm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provide background info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facilitate/participate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facilitate/participate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CLVU staff meeting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Mike vetted some of our ideas with the CLVU organizing team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 7th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Relay project ideas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Team meeting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Discussion of feedback from CLVU organizers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 8th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Relay feedback, discuss more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project ideas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Participate/update Terry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>Team meeting with CLVU organizing staff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Fleshing through project ideas that resonated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 14th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Facilitate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Participate/update Terry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Participate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BTA Leadership Collaboration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To encourage  CLVU member-leaders to be a part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codesign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process.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 18th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Pitch, lead discussion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First Project Iteration</w:t>
            </w:r>
          </w:p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Secure collaborative partners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Artists, non-profit/labor orgs, space needs, base-building groups, community leaders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Oct. 21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Game/Attraction design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With artists, design game/attractions with relevant data and framing to illustrate deceptive nature of capitalism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Oct. 21</w:t>
            </w: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Hold first “mini-carnival” 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In either Grove Hall or East Boston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Hold second “mini-carnival”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In either Grove Hall or East Boston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Create media/implementation strategy for potential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Spring event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Decide what social/mainstream /popular media channels we want to publicize or engage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people with</w:t>
            </w: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lastRenderedPageBreak/>
              <w:t>Second Project Iteration</w:t>
            </w:r>
          </w:p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incl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Midpoint Evaluation)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Incorporate feedback from first mini-carnival into design of second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>Continue development of media/implementation strategy for Spring event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Final Project Iteration</w:t>
            </w:r>
          </w:p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Final Presentation</w:t>
            </w:r>
          </w:p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</w:pPr>
            <w:r>
              <w:rPr>
                <w:rFonts w:ascii="Times New Roman" w:eastAsia="Times New Roman" w:hAnsi="Times New Roman" w:cs="Times New Roman"/>
              </w:rPr>
              <w:t xml:space="preserve">Cohesive media/implementation strategy for Spring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event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Case Study</w:t>
            </w:r>
          </w:p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Description</w:t>
            </w: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Start date</w:t>
            </w: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End date</w:t>
            </w: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MIKE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NENE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TERRY</w:t>
            </w:r>
          </w:p>
          <w:p w:rsidR="00922CE1" w:rsidRDefault="004F5A01">
            <w:pPr>
              <w:pStyle w:val="normal0"/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RUTH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i/>
                <w:color w:val="FFFFFF"/>
                <w:highlight w:val="black"/>
              </w:rPr>
              <w:t>DARA</w:t>
            </w:r>
          </w:p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role</w:t>
            </w: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Draft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</w:rPr>
              <w:t>Final</w:t>
            </w:r>
          </w:p>
        </w:tc>
        <w:tc>
          <w:tcPr>
            <w:tcW w:w="29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  <w:tr w:rsidR="00922CE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29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9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81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26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4F5A01">
            <w:pPr>
              <w:pStyle w:val="normal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 xml:space="preserve">total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hrs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FFFFFF"/>
                <w:highlight w:val="black"/>
              </w:rPr>
              <w:t>:</w:t>
            </w:r>
          </w:p>
        </w:tc>
        <w:tc>
          <w:tcPr>
            <w:tcW w:w="108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17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  <w:tc>
          <w:tcPr>
            <w:tcW w:w="135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2CE1" w:rsidRDefault="00922CE1">
            <w:pPr>
              <w:pStyle w:val="normal0"/>
            </w:pPr>
          </w:p>
        </w:tc>
      </w:tr>
    </w:tbl>
    <w:p w:rsidR="00922CE1" w:rsidRDefault="00922CE1">
      <w:pPr>
        <w:pStyle w:val="normal0"/>
      </w:pP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b/>
          <w:sz w:val="24"/>
        </w:rPr>
        <w:t>Budget</w:t>
      </w:r>
    </w:p>
    <w:p w:rsidR="00922CE1" w:rsidRDefault="00922CE1">
      <w:pPr>
        <w:pStyle w:val="normal0"/>
      </w:pPr>
    </w:p>
    <w:p w:rsidR="00922CE1" w:rsidRDefault="004F5A01">
      <w:pPr>
        <w:pStyle w:val="normal0"/>
      </w:pPr>
      <w:r>
        <w:rPr>
          <w:rFonts w:ascii="Times New Roman" w:eastAsia="Times New Roman" w:hAnsi="Times New Roman" w:cs="Times New Roman"/>
          <w:sz w:val="24"/>
        </w:rPr>
        <w:t>Memorandum of Understanding (MOU)</w:t>
      </w:r>
    </w:p>
    <w:p w:rsidR="00922CE1" w:rsidRDefault="00922CE1">
      <w:pPr>
        <w:pStyle w:val="normal0"/>
      </w:pPr>
    </w:p>
    <w:p w:rsidR="00922CE1" w:rsidRDefault="00922CE1">
      <w:pPr>
        <w:pStyle w:val="normal0"/>
      </w:pPr>
    </w:p>
    <w:sectPr w:rsidR="00922CE1">
      <w:pgSz w:w="15840" w:h="122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E3F93"/>
    <w:multiLevelType w:val="multilevel"/>
    <w:tmpl w:val="784EB8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50DA0A14"/>
    <w:multiLevelType w:val="multilevel"/>
    <w:tmpl w:val="C2E2D7E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922CE1"/>
    <w:rsid w:val="004F5A01"/>
    <w:rsid w:val="00922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1444</Words>
  <Characters>8237</Characters>
  <Application>Microsoft Macintosh Word</Application>
  <DocSecurity>0</DocSecurity>
  <Lines>68</Lines>
  <Paragraphs>19</Paragraphs>
  <ScaleCrop>false</ScaleCrop>
  <Company/>
  <LinksUpToDate>false</LinksUpToDate>
  <CharactersWithSpaces>9662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Proposal.docx</dc:title>
  <cp:lastModifiedBy>Microsoft Office User</cp:lastModifiedBy>
  <cp:revision>2</cp:revision>
  <dcterms:created xsi:type="dcterms:W3CDTF">2013-10-22T00:10:00Z</dcterms:created>
  <dcterms:modified xsi:type="dcterms:W3CDTF">2013-10-22T00:10:00Z</dcterms:modified>
</cp:coreProperties>
</file>