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sz w:val="28"/>
        </w:rPr>
        <w:t>JOIN CERTIFICATION REVIEW</w:t>
      </w:r>
    </w:p>
    <w:p>
      <w:pPr>
        <w:spacing w:after="80" w:line="252" w:lineRule="auto"/>
      </w:pPr>
      <w:r>
        <w:rPr>
          <w:rFonts w:ascii="Arial" w:hAnsi="Arial"/>
          <w:b/>
          <w:sz w:val="21"/>
        </w:rPr>
        <w:t>Use Case Name</w:t>
        <w:br/>
      </w:r>
      <w:r>
        <w:rPr>
          <w:rFonts w:ascii="Arial" w:hAnsi="Arial"/>
          <w:sz w:val="21"/>
        </w:rPr>
        <w:t>Join Certification Review</w:t>
      </w:r>
    </w:p>
    <w:p>
      <w:pPr>
        <w:spacing w:after="80" w:line="252" w:lineRule="auto"/>
      </w:pPr>
      <w:r>
        <w:rPr>
          <w:rFonts w:ascii="Arial" w:hAnsi="Arial"/>
          <w:b/>
          <w:sz w:val="21"/>
        </w:rPr>
        <w:t>Actor</w:t>
        <w:br/>
      </w:r>
      <w:r>
        <w:rPr>
          <w:rFonts w:ascii="Arial" w:hAnsi="Arial"/>
          <w:sz w:val="21"/>
        </w:rPr>
        <w:t>Learner</w:t>
      </w:r>
    </w:p>
    <w:p>
      <w:pPr>
        <w:spacing w:after="80" w:line="252" w:lineRule="auto"/>
      </w:pPr>
      <w:r>
        <w:rPr>
          <w:rFonts w:ascii="Arial" w:hAnsi="Arial"/>
          <w:b/>
          <w:sz w:val="21"/>
        </w:rPr>
        <w:t>Brief Description</w:t>
        <w:br/>
      </w:r>
      <w:r>
        <w:rPr>
          <w:rFonts w:ascii="Arial" w:hAnsi="Arial"/>
          <w:sz w:val="21"/>
        </w:rPr>
        <w:t>The learner joins a certification review directly or through an enterprise invitation. The system validates the request and enrolls the learner. The learner must complete the diagnostic assessment before accessing the lessons.</w:t>
      </w:r>
    </w:p>
    <w:p>
      <w:pPr>
        <w:spacing w:after="80" w:line="252" w:lineRule="auto"/>
      </w:pPr>
      <w:r>
        <w:rPr>
          <w:rFonts w:ascii="Arial" w:hAnsi="Arial"/>
          <w:b/>
          <w:sz w:val="21"/>
        </w:rPr>
        <w:t>Trigger</w:t>
        <w:br/>
      </w:r>
      <w:r>
        <w:rPr>
          <w:rFonts w:ascii="Arial" w:hAnsi="Arial"/>
          <w:sz w:val="21"/>
        </w:rPr>
        <w:t>The learner clicks “Join Certification” or accepts an enterprise invitation.</w:t>
      </w:r>
    </w:p>
    <w:p>
      <w:pPr>
        <w:spacing w:after="80" w:line="252" w:lineRule="auto"/>
      </w:pPr>
      <w:r>
        <w:rPr>
          <w:rFonts w:ascii="Arial" w:hAnsi="Arial"/>
          <w:b/>
          <w:sz w:val="21"/>
        </w:rPr>
        <w:t>Pre-Conditions</w:t>
        <w:br/>
      </w:r>
      <w:r>
        <w:rPr>
          <w:rFonts w:ascii="Arial" w:hAnsi="Arial"/>
          <w:sz w:val="21"/>
        </w:rPr>
        <w:t>The learner must be logged in. The certification must be available. An enterprise invitation must be valid, not expired, and have an available learner slot.</w:t>
      </w:r>
    </w:p>
    <w:p>
      <w:pPr>
        <w:spacing w:after="80" w:line="252" w:lineRule="auto"/>
      </w:pPr>
      <w:r>
        <w:rPr>
          <w:rFonts w:ascii="Arial" w:hAnsi="Arial"/>
          <w:b/>
          <w:sz w:val="21"/>
        </w:rPr>
        <w:t>Post-Conditions</w:t>
        <w:br/>
      </w:r>
      <w:r>
        <w:rPr>
          <w:rFonts w:ascii="Arial" w:hAnsi="Arial"/>
          <w:sz w:val="21"/>
        </w:rPr>
        <w:t>The learner is enrolled in the certification review and can take the diagnostic assessment. After completing the diagnostic, the lessons are unlocked.</w:t>
      </w:r>
    </w:p>
    <w:p>
      <w:pPr>
        <w:spacing w:before="60" w:after="80"/>
      </w:pPr>
      <w:r>
        <w:rPr>
          <w:rFonts w:ascii="Arial" w:hAnsi="Arial"/>
          <w:b/>
          <w:sz w:val="21"/>
        </w:rPr>
        <w:t>Flow of Activities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5688"/>
      </w:tblGrid>
      <w:tr>
        <w:trPr>
          <w:tblHeader w:val="true"/>
        </w:trPr>
        <w:tc>
          <w:tcPr>
            <w:tcW w:type="dxa" w:w="518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7F8C8D"/>
              <w:start w:val="single" w:sz="4" w:color="7F8C8D"/>
              <w:bottom w:val="single" w:sz="4" w:color="7F8C8D"/>
              <w:end w:val="single" w:sz="4" w:color="7F8C8D"/>
              <w:insideH w:val="single" w:sz="4" w:color="7F8C8D"/>
              <w:insideV w:val="single" w:sz="4" w:color="7F8C8D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1"/>
              </w:rPr>
              <w:t>Actor</w:t>
            </w:r>
          </w:p>
        </w:tc>
        <w:tc>
          <w:tcPr>
            <w:tcW w:type="dxa" w:w="518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7F8C8D"/>
              <w:start w:val="single" w:sz="4" w:color="7F8C8D"/>
              <w:bottom w:val="single" w:sz="4" w:color="7F8C8D"/>
              <w:end w:val="single" w:sz="4" w:color="7F8C8D"/>
              <w:insideH w:val="single" w:sz="4" w:color="7F8C8D"/>
              <w:insideV w:val="single" w:sz="4" w:color="7F8C8D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1"/>
              </w:rPr>
              <w:t>Application</w:t>
            </w:r>
          </w:p>
        </w:tc>
      </w:tr>
      <w:tr>
        <w:tc>
          <w:tcPr>
            <w:tcW w:type="dxa" w:w="46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7F8C8D"/>
              <w:start w:val="single" w:sz="4" w:color="7F8C8D"/>
              <w:bottom w:val="single" w:sz="4" w:color="7F8C8D"/>
              <w:end w:val="single" w:sz="4" w:color="7F8C8D"/>
              <w:insideH w:val="single" w:sz="4" w:color="7F8C8D"/>
              <w:insideV w:val="single" w:sz="4" w:color="7F8C8D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20"/>
              </w:rPr>
              <w:t>1. Selects a certification or opens an enterprise invitation.</w:t>
            </w:r>
          </w:p>
        </w:tc>
        <w:tc>
          <w:tcPr>
            <w:tcW w:type="dxa" w:w="56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7F8C8D"/>
              <w:start w:val="single" w:sz="4" w:color="7F8C8D"/>
              <w:bottom w:val="single" w:sz="4" w:color="7F8C8D"/>
              <w:end w:val="single" w:sz="4" w:color="7F8C8D"/>
              <w:insideH w:val="single" w:sz="4" w:color="7F8C8D"/>
              <w:insideV w:val="single" w:sz="4" w:color="7F8C8D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20"/>
              </w:rPr>
              <w:t>2. Checks the joining method.</w:t>
            </w:r>
          </w:p>
        </w:tc>
      </w:tr>
      <w:tr>
        <w:tc>
          <w:tcPr>
            <w:tcW w:type="dxa" w:w="46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7F8C8D"/>
              <w:start w:val="single" w:sz="4" w:color="7F8C8D"/>
              <w:bottom w:val="single" w:sz="4" w:color="7F8C8D"/>
              <w:end w:val="single" w:sz="4" w:color="7F8C8D"/>
              <w:insideH w:val="single" w:sz="4" w:color="7F8C8D"/>
              <w:insideV w:val="single" w:sz="4" w:color="7F8C8D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20"/>
              </w:rPr>
              <w:t>3. Confirms joining or accepts the invitation.</w:t>
            </w:r>
          </w:p>
        </w:tc>
        <w:tc>
          <w:tcPr>
            <w:tcW w:type="dxa" w:w="56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7F8C8D"/>
              <w:start w:val="single" w:sz="4" w:color="7F8C8D"/>
              <w:bottom w:val="single" w:sz="4" w:color="7F8C8D"/>
              <w:end w:val="single" w:sz="4" w:color="7F8C8D"/>
              <w:insideH w:val="single" w:sz="4" w:color="7F8C8D"/>
              <w:insideV w:val="single" w:sz="4" w:color="7F8C8D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20"/>
              </w:rPr>
              <w:t>4. Validates the certification or invitation.</w:t>
            </w:r>
          </w:p>
        </w:tc>
      </w:tr>
      <w:tr>
        <w:tc>
          <w:tcPr>
            <w:tcW w:type="dxa" w:w="46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7F8C8D"/>
              <w:start w:val="single" w:sz="4" w:color="7F8C8D"/>
              <w:bottom w:val="single" w:sz="4" w:color="7F8C8D"/>
              <w:end w:val="single" w:sz="4" w:color="7F8C8D"/>
              <w:insideH w:val="single" w:sz="4" w:color="7F8C8D"/>
              <w:insideV w:val="single" w:sz="4" w:color="7F8C8D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56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7F8C8D"/>
              <w:start w:val="single" w:sz="4" w:color="7F8C8D"/>
              <w:bottom w:val="single" w:sz="4" w:color="7F8C8D"/>
              <w:end w:val="single" w:sz="4" w:color="7F8C8D"/>
              <w:insideH w:val="single" w:sz="4" w:color="7F8C8D"/>
              <w:insideV w:val="single" w:sz="4" w:color="7F8C8D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20"/>
              </w:rPr>
              <w:t>4.1 If valid, enrolls the learner.</w:t>
            </w:r>
          </w:p>
        </w:tc>
      </w:tr>
      <w:tr>
        <w:tc>
          <w:tcPr>
            <w:tcW w:type="dxa" w:w="46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7F8C8D"/>
              <w:start w:val="single" w:sz="4" w:color="7F8C8D"/>
              <w:bottom w:val="single" w:sz="4" w:color="7F8C8D"/>
              <w:end w:val="single" w:sz="4" w:color="7F8C8D"/>
              <w:insideH w:val="single" w:sz="4" w:color="7F8C8D"/>
              <w:insideV w:val="single" w:sz="4" w:color="7F8C8D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56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7F8C8D"/>
              <w:start w:val="single" w:sz="4" w:color="7F8C8D"/>
              <w:bottom w:val="single" w:sz="4" w:color="7F8C8D"/>
              <w:end w:val="single" w:sz="4" w:color="7F8C8D"/>
              <w:insideH w:val="single" w:sz="4" w:color="7F8C8D"/>
              <w:insideV w:val="single" w:sz="4" w:color="7F8C8D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20"/>
              </w:rPr>
              <w:t>4.2 If the learner is already enrolled, redirects to the certification review.</w:t>
            </w:r>
          </w:p>
        </w:tc>
      </w:tr>
      <w:tr>
        <w:tc>
          <w:tcPr>
            <w:tcW w:type="dxa" w:w="46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7F8C8D"/>
              <w:start w:val="single" w:sz="4" w:color="7F8C8D"/>
              <w:bottom w:val="single" w:sz="4" w:color="7F8C8D"/>
              <w:end w:val="single" w:sz="4" w:color="7F8C8D"/>
              <w:insideH w:val="single" w:sz="4" w:color="7F8C8D"/>
              <w:insideV w:val="single" w:sz="4" w:color="7F8C8D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56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7F8C8D"/>
              <w:start w:val="single" w:sz="4" w:color="7F8C8D"/>
              <w:bottom w:val="single" w:sz="4" w:color="7F8C8D"/>
              <w:end w:val="single" w:sz="4" w:color="7F8C8D"/>
              <w:insideH w:val="single" w:sz="4" w:color="7F8C8D"/>
              <w:insideV w:val="single" w:sz="4" w:color="7F8C8D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20"/>
              </w:rPr>
              <w:t>4.3 If invalid, expired, or no slots are available, displays an error message.</w:t>
            </w:r>
          </w:p>
        </w:tc>
      </w:tr>
      <w:tr>
        <w:tc>
          <w:tcPr>
            <w:tcW w:type="dxa" w:w="46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7F8C8D"/>
              <w:start w:val="single" w:sz="4" w:color="7F8C8D"/>
              <w:bottom w:val="single" w:sz="4" w:color="7F8C8D"/>
              <w:end w:val="single" w:sz="4" w:color="7F8C8D"/>
              <w:insideH w:val="single" w:sz="4" w:color="7F8C8D"/>
              <w:insideV w:val="single" w:sz="4" w:color="7F8C8D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20"/>
              </w:rPr>
              <w:t>5. Opens the certification review.</w:t>
            </w:r>
          </w:p>
        </w:tc>
        <w:tc>
          <w:tcPr>
            <w:tcW w:type="dxa" w:w="56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7F8C8D"/>
              <w:start w:val="single" w:sz="4" w:color="7F8C8D"/>
              <w:bottom w:val="single" w:sz="4" w:color="7F8C8D"/>
              <w:end w:val="single" w:sz="4" w:color="7F8C8D"/>
              <w:insideH w:val="single" w:sz="4" w:color="7F8C8D"/>
              <w:insideV w:val="single" w:sz="4" w:color="7F8C8D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20"/>
              </w:rPr>
              <w:t>6. Checks if the diagnostic assessment is completed.</w:t>
            </w:r>
          </w:p>
        </w:tc>
      </w:tr>
      <w:tr>
        <w:tc>
          <w:tcPr>
            <w:tcW w:type="dxa" w:w="46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7F8C8D"/>
              <w:start w:val="single" w:sz="4" w:color="7F8C8D"/>
              <w:bottom w:val="single" w:sz="4" w:color="7F8C8D"/>
              <w:end w:val="single" w:sz="4" w:color="7F8C8D"/>
              <w:insideH w:val="single" w:sz="4" w:color="7F8C8D"/>
              <w:insideV w:val="single" w:sz="4" w:color="7F8C8D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20"/>
              </w:rPr>
              <w:t>7. Completes the diagnostic assessment.</w:t>
            </w:r>
          </w:p>
        </w:tc>
        <w:tc>
          <w:tcPr>
            <w:tcW w:type="dxa" w:w="56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7F8C8D"/>
              <w:start w:val="single" w:sz="4" w:color="7F8C8D"/>
              <w:bottom w:val="single" w:sz="4" w:color="7F8C8D"/>
              <w:end w:val="single" w:sz="4" w:color="7F8C8D"/>
              <w:insideH w:val="single" w:sz="4" w:color="7F8C8D"/>
              <w:insideV w:val="single" w:sz="4" w:color="7F8C8D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20"/>
              </w:rPr>
              <w:t>8. Saves the result and unlocks the lessons.</w:t>
            </w:r>
          </w:p>
        </w:tc>
      </w:tr>
      <w:tr>
        <w:tc>
          <w:tcPr>
            <w:tcW w:type="dxa" w:w="46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7F8C8D"/>
              <w:start w:val="single" w:sz="4" w:color="7F8C8D"/>
              <w:bottom w:val="single" w:sz="4" w:color="7F8C8D"/>
              <w:end w:val="single" w:sz="4" w:color="7F8C8D"/>
              <w:insideH w:val="single" w:sz="4" w:color="7F8C8D"/>
              <w:insideV w:val="single" w:sz="4" w:color="7F8C8D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20"/>
              </w:rPr>
              <w:t>9. Accesses the learning page.</w:t>
            </w:r>
          </w:p>
        </w:tc>
        <w:tc>
          <w:tcPr>
            <w:tcW w:type="dxa" w:w="56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7F8C8D"/>
              <w:start w:val="single" w:sz="4" w:color="7F8C8D"/>
              <w:bottom w:val="single" w:sz="4" w:color="7F8C8D"/>
              <w:end w:val="single" w:sz="4" w:color="7F8C8D"/>
              <w:insideH w:val="single" w:sz="4" w:color="7F8C8D"/>
              <w:insideV w:val="single" w:sz="4" w:color="7F8C8D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20"/>
              </w:rPr>
              <w:t>10. Displays the certification lessons and available features.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Join Certification Review Use Case</dc:title>
  <dc:subject>Updated Rebyu System Use Case</dc:subject>
  <dc:creator>REBYU</dc:creator>
  <cp:keywords>Rebyu, use case, certification review, learner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