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JOIN CERTIFICATION REVIEW</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8568"/>
      </w:tblGrid>
      <w:tr>
        <w:trPr>
          <w:cantSplit/>
        </w:trPr>
        <w:tc>
          <w:tcPr>
            <w:tcW w:type="dxa" w:w="2376"/>
            <w:vAlign w:val="top"/>
          </w:tcPr>
          <w:p>
            <w:pPr>
              <w:spacing w:after="0"/>
            </w:pPr>
            <w:r>
              <w:rPr>
                <w:b/>
              </w:rPr>
              <w:t>Use Case Name</w:t>
            </w:r>
          </w:p>
        </w:tc>
        <w:tc>
          <w:tcPr>
            <w:tcW w:type="dxa" w:w="8568"/>
            <w:vAlign w:val="top"/>
          </w:tcPr>
          <w:p>
            <w:pPr>
              <w:spacing w:after="0"/>
            </w:pPr>
            <w:r>
              <w:t>Join Certification Review</w:t>
            </w:r>
          </w:p>
        </w:tc>
      </w:tr>
      <w:tr>
        <w:trPr>
          <w:cantSplit/>
        </w:trPr>
        <w:tc>
          <w:tcPr>
            <w:tcW w:type="dxa" w:w="2376"/>
            <w:vAlign w:val="top"/>
          </w:tcPr>
          <w:p>
            <w:pPr>
              <w:spacing w:after="0"/>
            </w:pPr>
            <w:r>
              <w:rPr>
                <w:b/>
              </w:rPr>
              <w:t>Actor</w:t>
            </w:r>
          </w:p>
        </w:tc>
        <w:tc>
          <w:tcPr>
            <w:tcW w:type="dxa" w:w="8568"/>
            <w:vAlign w:val="top"/>
          </w:tcPr>
          <w:p>
            <w:pPr>
              <w:spacing w:after="0"/>
            </w:pPr>
            <w:r>
              <w:t>Learner</w:t>
            </w:r>
          </w:p>
        </w:tc>
      </w:tr>
      <w:tr>
        <w:trPr>
          <w:cantSplit/>
        </w:trPr>
        <w:tc>
          <w:tcPr>
            <w:tcW w:type="dxa" w:w="2376"/>
            <w:vAlign w:val="top"/>
          </w:tcPr>
          <w:p>
            <w:pPr>
              <w:spacing w:after="0"/>
            </w:pPr>
            <w:r>
              <w:rPr>
                <w:b/>
              </w:rPr>
              <w:t>Brief Description</w:t>
            </w:r>
          </w:p>
        </w:tc>
        <w:tc>
          <w:tcPr>
            <w:tcW w:type="dxa" w:w="8568"/>
            <w:vAlign w:val="top"/>
          </w:tcPr>
          <w:p>
            <w:pPr>
              <w:spacing w:after="0"/>
            </w:pPr>
            <w:r>
              <w:t>The learner joins a certification review either by opening an available certification and enrolling as an individual learner or by accepting an enterprise invitation. Individual learners can access the lessons and standard learning activities, while restricted premium features remain unavailable unless they have an active subscription. Learners who join through an enterprise invitation receive the access included in the enterprise plan.</w:t>
            </w:r>
          </w:p>
        </w:tc>
      </w:tr>
      <w:tr>
        <w:trPr>
          <w:cantSplit/>
        </w:trPr>
        <w:tc>
          <w:tcPr>
            <w:tcW w:type="dxa" w:w="2376"/>
            <w:vAlign w:val="top"/>
          </w:tcPr>
          <w:p>
            <w:pPr>
              <w:spacing w:after="0"/>
            </w:pPr>
            <w:r>
              <w:rPr>
                <w:b/>
              </w:rPr>
              <w:t>Trigger</w:t>
            </w:r>
          </w:p>
        </w:tc>
        <w:tc>
          <w:tcPr>
            <w:tcW w:type="dxa" w:w="8568"/>
            <w:vAlign w:val="top"/>
          </w:tcPr>
          <w:p>
            <w:pPr>
              <w:spacing w:after="0"/>
            </w:pPr>
            <w:r>
              <w:t>The learner opens a certification and enrolls, or opens and accepts an enterprise invitation.</w:t>
            </w:r>
          </w:p>
        </w:tc>
      </w:tr>
      <w:tr>
        <w:trPr>
          <w:cantSplit/>
        </w:trPr>
        <w:tc>
          <w:tcPr>
            <w:tcW w:type="dxa" w:w="2376"/>
            <w:vAlign w:val="top"/>
          </w:tcPr>
          <w:p>
            <w:pPr>
              <w:spacing w:after="0"/>
            </w:pPr>
            <w:r>
              <w:rPr>
                <w:b/>
              </w:rPr>
              <w:t>Pre-Conditions</w:t>
            </w:r>
          </w:p>
        </w:tc>
        <w:tc>
          <w:tcPr>
            <w:tcW w:type="dxa" w:w="8568"/>
            <w:vAlign w:val="top"/>
          </w:tcPr>
          <w:p>
            <w:pPr>
              <w:spacing w:after="0"/>
            </w:pPr>
            <w:r>
              <w:t>The learner must be logged in. The certification must be published and available. For an enterprise invitation, the invitation must be valid, not expired, and have an available learner slot.</w:t>
            </w:r>
          </w:p>
        </w:tc>
      </w:tr>
      <w:tr>
        <w:trPr>
          <w:cantSplit/>
        </w:trPr>
        <w:tc>
          <w:tcPr>
            <w:tcW w:type="dxa" w:w="2376"/>
            <w:vAlign w:val="top"/>
          </w:tcPr>
          <w:p>
            <w:pPr>
              <w:spacing w:after="0"/>
            </w:pPr>
            <w:r>
              <w:rPr>
                <w:b/>
              </w:rPr>
              <w:t>Post-Conditions</w:t>
            </w:r>
          </w:p>
        </w:tc>
        <w:tc>
          <w:tcPr>
            <w:tcW w:type="dxa" w:w="8568"/>
            <w:vAlign w:val="top"/>
          </w:tcPr>
          <w:p>
            <w:pPr>
              <w:spacing w:after="0"/>
            </w:pPr>
            <w:r>
              <w:t>The learner is enrolled in the certification review. The learner can take the required diagnostic assessment and access the features allowed by the individual subscription or enterprise plan.</w:t>
            </w:r>
          </w:p>
        </w:tc>
      </w:tr>
    </w:tbl>
    <w:p>
      <w:pPr>
        <w:spacing w:before="160"/>
      </w:pPr>
      <w:r>
        <w:rPr>
          <w:b/>
          <w:sz w:val="22"/>
        </w:rPr>
        <w:t>Flow of Activities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472"/>
        <w:gridCol w:w="5472"/>
      </w:tblGrid>
      <w:tr>
        <w:trPr>
          <w:cantSplit/>
        </w:trPr>
        <w:tc>
          <w:tcPr>
            <w:tcW w:type="dxa" w:w="5112"/>
            <w:vAlign w:val="center"/>
            <w:shd w:fill="D9EAF7"/>
          </w:tcPr>
          <w:p>
            <w:r>
              <w:rPr>
                <w:b/>
              </w:rPr>
              <w:t>Actor</w:t>
            </w:r>
          </w:p>
        </w:tc>
        <w:tc>
          <w:tcPr>
            <w:tcW w:type="dxa" w:w="5112"/>
            <w:vAlign w:val="center"/>
            <w:shd w:fill="D9EAF7"/>
          </w:tcPr>
          <w:p>
            <w:r>
              <w:rPr>
                <w:b/>
              </w:rPr>
              <w:t>Application</w:t>
            </w:r>
          </w:p>
        </w:tc>
      </w:tr>
      <w:tr>
        <w:trPr>
          <w:cantSplit/>
        </w:trPr>
        <w:tc>
          <w:tcPr>
            <w:tcW w:type="dxa" w:w="5472"/>
            <w:vAlign w:val="top"/>
          </w:tcPr>
          <w:p>
            <w:pPr>
              <w:spacing w:after="0"/>
            </w:pPr>
            <w:r>
              <w:t>1. Opens an available certification and enrolls as an individual learner, or opens an enterprise invitation.</w:t>
            </w:r>
          </w:p>
        </w:tc>
        <w:tc>
          <w:tcPr>
            <w:tcW w:type="dxa" w:w="5472"/>
            <w:vAlign w:val="top"/>
          </w:tcPr>
          <w:p>
            <w:pPr>
              <w:spacing w:after="0"/>
            </w:pPr>
            <w:r>
              <w:t>2. Checks the selected joining method.</w:t>
            </w:r>
          </w:p>
        </w:tc>
      </w:tr>
      <w:tr>
        <w:trPr>
          <w:cantSplit/>
        </w:trPr>
        <w:tc>
          <w:tcPr>
            <w:tcW w:type="dxa" w:w="5472"/>
            <w:vAlign w:val="top"/>
          </w:tcPr>
          <w:p>
            <w:pPr>
              <w:spacing w:after="0"/>
            </w:pPr>
            <w:r>
              <w:t>3. Confirms the enrollment or accepts the invitation.</w:t>
            </w:r>
          </w:p>
        </w:tc>
        <w:tc>
          <w:tcPr>
            <w:tcW w:type="dxa" w:w="5472"/>
            <w:vAlign w:val="top"/>
          </w:tcPr>
          <w:p>
            <w:pPr>
              <w:spacing w:after="0"/>
            </w:pPr>
            <w:r>
              <w:t>2.1 If individual enrollment is selected, the system verifies that the certification is available.</w:t>
              <w:br/>
              <w:t>2.2 If an enterprise invitation is accepted, the system verifies the invitation details.</w:t>
            </w:r>
          </w:p>
        </w:tc>
      </w:tr>
      <w:tr>
        <w:trPr>
          <w:cantSplit/>
        </w:trPr>
        <w:tc>
          <w:tcPr>
            <w:tcW w:type="dxa" w:w="5472"/>
            <w:vAlign w:val="top"/>
          </w:tcPr>
          <w:p>
            <w:pPr>
              <w:spacing w:after="0"/>
            </w:pPr>
            <w:r>
              <w:t>5. Opens the enrolled certification review.</w:t>
            </w:r>
          </w:p>
        </w:tc>
        <w:tc>
          <w:tcPr>
            <w:tcW w:type="dxa" w:w="5472"/>
            <w:vAlign w:val="top"/>
          </w:tcPr>
          <w:p>
            <w:pPr>
              <w:spacing w:after="0"/>
            </w:pPr>
            <w:r>
              <w:t>4. Enrolls the learner if the certification or invitation is valid. If the request is invalid, expired, or has no available slot, the system displays an error message.</w:t>
            </w:r>
          </w:p>
        </w:tc>
      </w:tr>
      <w:tr>
        <w:trPr>
          <w:cantSplit/>
        </w:trPr>
        <w:tc>
          <w:tcPr>
            <w:tcW w:type="dxa" w:w="5472"/>
            <w:vAlign w:val="top"/>
          </w:tcPr>
          <w:p>
            <w:pPr>
              <w:spacing w:after="0"/>
            </w:pPr>
            <w:r>
              <w:t>7. Takes the diagnostic assessment.</w:t>
            </w:r>
          </w:p>
        </w:tc>
        <w:tc>
          <w:tcPr>
            <w:tcW w:type="dxa" w:w="5472"/>
            <w:vAlign w:val="top"/>
          </w:tcPr>
          <w:p>
            <w:pPr>
              <w:spacing w:after="0"/>
            </w:pPr>
            <w:r>
              <w:t>6. Checks the learner's access type and displays the diagnostic assessment.</w:t>
            </w:r>
          </w:p>
        </w:tc>
      </w:tr>
      <w:tr>
        <w:trPr>
          <w:cantSplit/>
        </w:trPr>
        <w:tc>
          <w:tcPr>
            <w:tcW w:type="dxa" w:w="5472"/>
            <w:vAlign w:val="top"/>
          </w:tcPr>
          <w:p>
            <w:pPr>
              <w:spacing w:after="0"/>
            </w:pPr>
            <w:r>
              <w:t>9. Accesses the learning page.</w:t>
            </w:r>
          </w:p>
        </w:tc>
        <w:tc>
          <w:tcPr>
            <w:tcW w:type="dxa" w:w="5472"/>
            <w:vAlign w:val="top"/>
          </w:tcPr>
          <w:p>
            <w:pPr>
              <w:spacing w:after="0"/>
            </w:pPr>
            <w:r>
              <w:t>8. Saves the diagnostic result and unlocks the lessons.</w:t>
              <w:br/>
              <w:t>10. Displays the certification lessons and the features available under the learner's individual subscription or enterprise plan.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 Certification Review</dc:title>
  <dc:subject>Updated Rebyu Use Case</dc:subject>
  <dc:creator>Rebyu</dc:creator>
  <cp:keywords/>
  <dc:description>generated by python-docx</dc:description>
  <cp:lastModifiedBy/>
  <cp:revision>1</cp:revision>
  <dcterms:created xsi:type="dcterms:W3CDTF">2013-12-23T23:15:00Z</dcterms:created>
  <dcterms:modified xsi:type="dcterms:W3CDTF">2013-12-23T23:15:00Z</dcterms:modified>
  <cp:category/>
</cp:coreProperties>
</file>