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4vlxydmzrtba" w:id="0"/>
      <w:bookmarkEnd w:id="0"/>
      <w:r w:rsidDel="00000000" w:rsidR="00000000" w:rsidRPr="00000000">
        <w:rPr>
          <w:rtl w:val="0"/>
        </w:rPr>
        <w:t xml:space="preserve">Forensics Europe Expo: Post-Show Executive Report &amp; Strategic Outlook for 2026</w:t>
      </w:r>
    </w:p>
    <w:p w:rsidR="00000000" w:rsidDel="00000000" w:rsidP="00000000" w:rsidRDefault="00000000" w:rsidRPr="00000000" w14:paraId="00000002">
      <w:pPr>
        <w:pStyle w:val="Heading5"/>
        <w:rPr/>
      </w:pPr>
      <w:bookmarkStart w:colFirst="0" w:colLast="0" w:name="_j3dcwhkh977g" w:id="1"/>
      <w:bookmarkEnd w:id="1"/>
      <w:r w:rsidDel="00000000" w:rsidR="00000000" w:rsidRPr="00000000">
        <w:rPr>
          <w:rtl w:val="0"/>
        </w:rPr>
        <w:t xml:space="preserve">Introduction</w:t>
      </w:r>
    </w:p>
    <w:p w:rsidR="00000000" w:rsidDel="00000000" w:rsidP="00000000" w:rsidRDefault="00000000" w:rsidRPr="00000000" w14:paraId="00000003">
      <w:pPr>
        <w:rPr/>
      </w:pPr>
      <w:r w:rsidDel="00000000" w:rsidR="00000000" w:rsidRPr="00000000">
        <w:rPr>
          <w:rtl w:val="0"/>
        </w:rPr>
        <w:t xml:space="preserve">This executive report presents a definitive analysis of the Forensics Europe Expo attendee survey. Its purpose is to move beyond data summary to establish strategic imperatives for the 2026 event. The findings herein provide a clear, evidence-based mandate for refining audience engagement, content development, commercial strategy, and operational planning.</w:t>
      </w:r>
    </w:p>
    <w:p w:rsidR="00000000" w:rsidDel="00000000" w:rsidP="00000000" w:rsidRDefault="00000000" w:rsidRPr="00000000" w14:paraId="00000004">
      <w:pPr>
        <w:pStyle w:val="Heading5"/>
        <w:rPr/>
      </w:pPr>
      <w:bookmarkStart w:colFirst="0" w:colLast="0" w:name="_ux8okeya3yqw" w:id="2"/>
      <w:bookmarkEnd w:id="2"/>
      <w:r w:rsidDel="00000000" w:rsidR="00000000" w:rsidRPr="00000000">
        <w:rPr>
          <w:rtl w:val="0"/>
        </w:rPr>
        <w:t xml:space="preserve">1. The Attendee Landscape: A Global and Specialized Audience</w:t>
      </w:r>
    </w:p>
    <w:p w:rsidR="00000000" w:rsidDel="00000000" w:rsidP="00000000" w:rsidRDefault="00000000" w:rsidRPr="00000000" w14:paraId="00000005">
      <w:pPr>
        <w:rPr/>
      </w:pPr>
      <w:r w:rsidDel="00000000" w:rsidR="00000000" w:rsidRPr="00000000">
        <w:rPr>
          <w:rtl w:val="0"/>
        </w:rPr>
        <w:t xml:space="preserve">A precise understanding of our audience composition is the foundation of our strategy. This data dictates how we must tailor marketing, develop a conference agenda that addresses documented priorities, and demonstrate undeniable value to exhibitors. The survey confirms our event attracts a highly valuable and globally diverse audience.Key demographic findings from the survey data include:</w:t>
      </w:r>
    </w:p>
    <w:p w:rsidR="00000000" w:rsidDel="00000000" w:rsidP="00000000" w:rsidRDefault="00000000" w:rsidRPr="00000000" w14:paraId="00000006">
      <w:pPr>
        <w:numPr>
          <w:ilvl w:val="0"/>
          <w:numId w:val="4"/>
        </w:numPr>
        <w:ind w:left="720" w:hanging="360"/>
        <w:rPr>
          <w:u w:val="none"/>
        </w:rPr>
      </w:pPr>
      <w:r w:rsidDel="00000000" w:rsidR="00000000" w:rsidRPr="00000000">
        <w:rPr>
          <w:b w:val="1"/>
          <w:bCs w:val="1"/>
          <w:rtl w:val="0"/>
        </w:rPr>
        <w:t xml:space="preserve">Dominant Professional Segment:</w:t>
      </w:r>
      <w:r w:rsidDel="00000000" w:rsidR="00000000" w:rsidRPr="00000000">
        <w:rPr>
          <w:rtl w:val="0"/>
        </w:rPr>
        <w:t xml:space="preserve">  Forensic Service Providers constitute the largest professional group at  </w:t>
      </w:r>
      <w:r w:rsidDel="00000000" w:rsidR="00000000" w:rsidRPr="00000000">
        <w:rPr>
          <w:b w:val="1"/>
          <w:bCs w:val="1"/>
          <w:rtl w:val="0"/>
        </w:rPr>
        <w:t xml:space="preserve">21.31%</w:t>
      </w:r>
      <w:r w:rsidDel="00000000" w:rsidR="00000000" w:rsidRPr="00000000">
        <w:rPr>
          <w:rtl w:val="0"/>
        </w:rPr>
        <w:t xml:space="preserve"> , cementing the event's role as a core hub for practitioners.</w:t>
      </w:r>
    </w:p>
    <w:p w:rsidR="00000000" w:rsidDel="00000000" w:rsidP="00000000" w:rsidRDefault="00000000" w:rsidRPr="00000000" w14:paraId="00000007">
      <w:pPr>
        <w:numPr>
          <w:ilvl w:val="0"/>
          <w:numId w:val="4"/>
        </w:numPr>
        <w:ind w:left="720" w:hanging="360"/>
        <w:rPr>
          <w:u w:val="none"/>
        </w:rPr>
      </w:pPr>
      <w:r w:rsidDel="00000000" w:rsidR="00000000" w:rsidRPr="00000000">
        <w:rPr>
          <w:b w:val="1"/>
          <w:bCs w:val="1"/>
          <w:rtl w:val="0"/>
        </w:rPr>
        <w:t xml:space="preserve">Significant International Presence:</w:t>
      </w:r>
      <w:r w:rsidDel="00000000" w:rsidR="00000000" w:rsidRPr="00000000">
        <w:rPr>
          <w:rtl w:val="0"/>
        </w:rPr>
        <w:t xml:space="preserve">  With  </w:t>
      </w:r>
      <w:r w:rsidDel="00000000" w:rsidR="00000000" w:rsidRPr="00000000">
        <w:rPr>
          <w:b w:val="1"/>
          <w:bCs w:val="1"/>
          <w:rtl w:val="0"/>
        </w:rPr>
        <w:t xml:space="preserve">57.38%</w:t>
      </w:r>
      <w:r w:rsidDel="00000000" w:rsidR="00000000" w:rsidRPr="00000000">
        <w:rPr>
          <w:rtl w:val="0"/>
        </w:rPr>
        <w:t xml:space="preserve">  of attendees operating internationally, the expo’s status as a critical global destination for the forensics sector is confirmed.The clear implication of this data is that our audience is not merely specialized; it is a rich practitioner-researcher-enforcement ecosystem. Beyond the dominant service providers, the presence of  </w:t>
      </w:r>
      <w:r w:rsidDel="00000000" w:rsidR="00000000" w:rsidRPr="00000000">
        <w:rPr>
          <w:b w:val="1"/>
          <w:bCs w:val="1"/>
          <w:rtl w:val="0"/>
        </w:rPr>
        <w:t xml:space="preserve">Academic/Research Institutions (13.11%)</w:t>
      </w:r>
      <w:r w:rsidDel="00000000" w:rsidR="00000000" w:rsidRPr="00000000">
        <w:rPr>
          <w:rtl w:val="0"/>
        </w:rPr>
        <w:t xml:space="preserve"> ,  </w:t>
      </w:r>
      <w:r w:rsidDel="00000000" w:rsidR="00000000" w:rsidRPr="00000000">
        <w:rPr>
          <w:b w:val="1"/>
          <w:bCs w:val="1"/>
          <w:rtl w:val="0"/>
        </w:rPr>
        <w:t xml:space="preserve">Consultancies (11.48%)</w:t>
      </w:r>
      <w:r w:rsidDel="00000000" w:rsidR="00000000" w:rsidRPr="00000000">
        <w:rPr>
          <w:rtl w:val="0"/>
        </w:rPr>
        <w:t xml:space="preserve"> , and  </w:t>
      </w:r>
      <w:r w:rsidDel="00000000" w:rsidR="00000000" w:rsidRPr="00000000">
        <w:rPr>
          <w:b w:val="1"/>
          <w:bCs w:val="1"/>
          <w:rtl w:val="0"/>
        </w:rPr>
        <w:t xml:space="preserve">Police (9.84%)</w:t>
      </w:r>
      <w:r w:rsidDel="00000000" w:rsidR="00000000" w:rsidRPr="00000000">
        <w:rPr>
          <w:rtl w:val="0"/>
        </w:rPr>
        <w:t xml:space="preserve">  creates a unique and commercially potent environment. Our marketing and content strategy must leverage this ecosystem, promoting the event as the single most efficient venue for cross-sector collaboration and knowledge exchange in the industry.</w:t>
      </w:r>
    </w:p>
    <w:p w:rsidR="00000000" w:rsidDel="00000000" w:rsidP="00000000" w:rsidRDefault="00000000" w:rsidRPr="00000000" w14:paraId="00000008">
      <w:pPr>
        <w:pStyle w:val="Heading5"/>
        <w:rPr/>
      </w:pPr>
      <w:bookmarkStart w:colFirst="0" w:colLast="0" w:name="_owf167nreiib" w:id="3"/>
      <w:bookmarkEnd w:id="3"/>
      <w:r w:rsidDel="00000000" w:rsidR="00000000" w:rsidRPr="00000000">
        <w:rPr>
          <w:rtl w:val="0"/>
        </w:rPr>
        <w:t xml:space="preserve">2. Audience Buying Power: An Engaged Procurement Ecosystem</w:t>
      </w:r>
    </w:p>
    <w:p w:rsidR="00000000" w:rsidDel="00000000" w:rsidP="00000000" w:rsidRDefault="00000000" w:rsidRPr="00000000" w14:paraId="00000009">
      <w:pPr>
        <w:rPr/>
      </w:pPr>
      <w:r w:rsidDel="00000000" w:rsidR="00000000" w:rsidRPr="00000000">
        <w:rPr>
          <w:rtl w:val="0"/>
        </w:rPr>
        <w:t xml:space="preserve">Demonstrating quantifiable ROI for our commercial partners is non-negotiable. The survey data provides a powerful verdict: our audience is not a passive observer but an active participant in the procurement cycle, possessing both direct influence and significant financial authority.A commanding  </w:t>
      </w:r>
      <w:r w:rsidDel="00000000" w:rsidR="00000000" w:rsidRPr="00000000">
        <w:rPr>
          <w:b w:val="1"/>
          <w:bCs w:val="1"/>
          <w:rtl w:val="0"/>
        </w:rPr>
        <w:t xml:space="preserve">72.5%</w:t>
      </w:r>
      <w:r w:rsidDel="00000000" w:rsidR="00000000" w:rsidRPr="00000000">
        <w:rPr>
          <w:rtl w:val="0"/>
        </w:rPr>
        <w:t xml:space="preserve">  of our audience directly influences procurement. This authority is distributed across the most critical stages of the purchasing journey:</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Recommenders / Specifiers:</w:t>
      </w:r>
      <w:r w:rsidDel="00000000" w:rsidR="00000000" w:rsidRPr="00000000">
        <w:rPr>
          <w:rtl w:val="0"/>
        </w:rPr>
        <w:t xml:space="preserve">  30.00%</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Researchers:</w:t>
      </w:r>
      <w:r w:rsidDel="00000000" w:rsidR="00000000" w:rsidRPr="00000000">
        <w:rPr>
          <w:rtl w:val="0"/>
        </w:rPr>
        <w:t xml:space="preserve">  27.50%</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Decision Makers:</w:t>
      </w:r>
      <w:r w:rsidDel="00000000" w:rsidR="00000000" w:rsidRPr="00000000">
        <w:rPr>
          <w:rtl w:val="0"/>
        </w:rPr>
        <w:t xml:space="preserve">  15.00%Crucially, this influence is matched by significant financial authority:  </w:t>
      </w:r>
      <w:r w:rsidDel="00000000" w:rsidR="00000000" w:rsidRPr="00000000">
        <w:rPr>
          <w:b w:val="1"/>
          <w:bCs w:val="1"/>
          <w:rtl w:val="0"/>
        </w:rPr>
        <w:t xml:space="preserve">30%</w:t>
      </w:r>
      <w:r w:rsidDel="00000000" w:rsidR="00000000" w:rsidRPr="00000000">
        <w:rPr>
          <w:rtl w:val="0"/>
        </w:rPr>
        <w:t xml:space="preserve">  of this group is responsible for or influences budgets exceeding £100,000. This high concentration of buying power mandates that we position the expo as the industry’s primary marketplace. This direct line between procurement needs and content consumption makes our conference program the primary driver of commercial activity on the show floor.</w:t>
      </w:r>
    </w:p>
    <w:p w:rsidR="00000000" w:rsidDel="00000000" w:rsidP="00000000" w:rsidRDefault="00000000" w:rsidRPr="00000000" w14:paraId="0000000D">
      <w:pPr>
        <w:pStyle w:val="Heading5"/>
        <w:rPr/>
      </w:pPr>
      <w:bookmarkStart w:colFirst="0" w:colLast="0" w:name="_7r7udvjk0wrb" w:id="4"/>
      <w:bookmarkEnd w:id="4"/>
      <w:r w:rsidDel="00000000" w:rsidR="00000000" w:rsidRPr="00000000">
        <w:rPr>
          <w:rtl w:val="0"/>
        </w:rPr>
        <w:t xml:space="preserve">3. The Content Pulse: Defining Attendee Priorities for 2026</w:t>
      </w:r>
    </w:p>
    <w:p w:rsidR="00000000" w:rsidDel="00000000" w:rsidP="00000000" w:rsidRDefault="00000000" w:rsidRPr="00000000" w14:paraId="0000000E">
      <w:pPr>
        <w:rPr/>
      </w:pPr>
      <w:r w:rsidDel="00000000" w:rsidR="00000000" w:rsidRPr="00000000">
        <w:rPr>
          <w:rtl w:val="0"/>
        </w:rPr>
        <w:t xml:space="preserve">Audience interest is the ultimate arbiter of our content strategy. The survey data provides a clear directive on the themes that will maximize attendance, satisfaction, and the event's standing as an essential source of professional development. The feedback mandates a three-pillared content strategy for 2026.The most compelling content streams for our audience are:</w:t>
      </w:r>
    </w:p>
    <w:p w:rsidR="00000000" w:rsidDel="00000000" w:rsidP="00000000" w:rsidRDefault="00000000" w:rsidRPr="00000000" w14:paraId="0000000F">
      <w:pPr>
        <w:numPr>
          <w:ilvl w:val="0"/>
          <w:numId w:val="2"/>
        </w:numPr>
        <w:ind w:left="720" w:hanging="360"/>
        <w:rPr>
          <w:u w:val="none"/>
        </w:rPr>
      </w:pPr>
      <w:r w:rsidDel="00000000" w:rsidR="00000000" w:rsidRPr="00000000">
        <w:rPr>
          <w:b w:val="1"/>
          <w:bCs w:val="1"/>
          <w:rtl w:val="0"/>
        </w:rPr>
        <w:t xml:space="preserve">Scenes of Crime:</w:t>
      </w:r>
      <w:r w:rsidDel="00000000" w:rsidR="00000000" w:rsidRPr="00000000">
        <w:rPr>
          <w:rtl w:val="0"/>
        </w:rPr>
        <w:t xml:space="preserve">  This is the top-rated priority, with  </w:t>
      </w:r>
      <w:r w:rsidDel="00000000" w:rsidR="00000000" w:rsidRPr="00000000">
        <w:rPr>
          <w:b w:val="1"/>
          <w:bCs w:val="1"/>
          <w:rtl w:val="0"/>
        </w:rPr>
        <w:t xml:space="preserve">63.83%</w:t>
      </w:r>
      <w:r w:rsidDel="00000000" w:rsidR="00000000" w:rsidRPr="00000000">
        <w:rPr>
          <w:rtl w:val="0"/>
        </w:rPr>
        <w:t xml:space="preserve">  of respondents expressing interest.</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Laboratory Sciences:</w:t>
      </w:r>
      <w:r w:rsidDel="00000000" w:rsidR="00000000" w:rsidRPr="00000000">
        <w:rPr>
          <w:rtl w:val="0"/>
        </w:rPr>
        <w:t xml:space="preserve">  The second-most critical theme, appealing to a majority of  </w:t>
      </w:r>
      <w:r w:rsidDel="00000000" w:rsidR="00000000" w:rsidRPr="00000000">
        <w:rPr>
          <w:b w:val="1"/>
          <w:bCs w:val="1"/>
          <w:rtl w:val="0"/>
        </w:rPr>
        <w:t xml:space="preserve">55.32%</w:t>
      </w:r>
      <w:r w:rsidDel="00000000" w:rsidR="00000000" w:rsidRPr="00000000">
        <w:rPr>
          <w:rtl w:val="0"/>
        </w:rPr>
        <w:t xml:space="preserve">  of respondents.</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Mobile &amp; Data Forensics:</w:t>
      </w:r>
      <w:r w:rsidDel="00000000" w:rsidR="00000000" w:rsidRPr="00000000">
        <w:rPr>
          <w:rtl w:val="0"/>
        </w:rPr>
        <w:t xml:space="preserve">  A crucial third stream demanded by  </w:t>
      </w:r>
      <w:r w:rsidDel="00000000" w:rsidR="00000000" w:rsidRPr="00000000">
        <w:rPr>
          <w:b w:val="1"/>
          <w:bCs w:val="1"/>
          <w:rtl w:val="0"/>
        </w:rPr>
        <w:t xml:space="preserve">46.81%</w:t>
      </w:r>
      <w:r w:rsidDel="00000000" w:rsidR="00000000" w:rsidRPr="00000000">
        <w:rPr>
          <w:rtl w:val="0"/>
        </w:rPr>
        <w:t xml:space="preserve">  of the audience, a figure too significant to ignore.This data mandates that these three themes form the pillars of the 2026 conference program. Scenes of Crime and Laboratory Sciences must be treated as the foundational components, while Mobile &amp; Data Forensics must be developed as an essential stream to engage nearly half our audience and ensure the event’s relevance in a technologically evolving field. This focused content architecture provides the necessary foundation for our operational planning.</w:t>
      </w:r>
    </w:p>
    <w:p w:rsidR="00000000" w:rsidDel="00000000" w:rsidP="00000000" w:rsidRDefault="00000000" w:rsidRPr="00000000" w14:paraId="00000012">
      <w:pPr>
        <w:pStyle w:val="Heading5"/>
        <w:rPr/>
      </w:pPr>
      <w:bookmarkStart w:colFirst="0" w:colLast="0" w:name="_sq9o85lonrmn" w:id="5"/>
      <w:bookmarkEnd w:id="5"/>
      <w:r w:rsidDel="00000000" w:rsidR="00000000" w:rsidRPr="00000000">
        <w:rPr>
          <w:rtl w:val="0"/>
        </w:rPr>
        <w:t xml:space="preserve">4. Strategic &amp; Operational Recommendations for 2026</w:t>
      </w:r>
    </w:p>
    <w:p w:rsidR="00000000" w:rsidDel="00000000" w:rsidP="00000000" w:rsidRDefault="00000000" w:rsidRPr="00000000" w14:paraId="00000013">
      <w:pPr>
        <w:rPr/>
      </w:pPr>
      <w:r w:rsidDel="00000000" w:rsidR="00000000" w:rsidRPr="00000000">
        <w:rPr>
          <w:rtl w:val="0"/>
        </w:rPr>
        <w:t xml:space="preserve">Attendee feedback must be the final validation for all core operational decisions. The survey results provide a decisive endorsement of our proposed logistical framework and reveal a key opportunity for our marketing campaign.The data provides a clear mandate for the planned event format and schedule:</w:t>
      </w:r>
    </w:p>
    <w:p w:rsidR="00000000" w:rsidDel="00000000" w:rsidP="00000000" w:rsidRDefault="00000000" w:rsidRPr="00000000" w14:paraId="00000014">
      <w:pPr>
        <w:numPr>
          <w:ilvl w:val="0"/>
          <w:numId w:val="3"/>
        </w:numPr>
        <w:ind w:left="720" w:hanging="360"/>
        <w:rPr>
          <w:u w:val="none"/>
        </w:rPr>
      </w:pPr>
      <w:r w:rsidDel="00000000" w:rsidR="00000000" w:rsidRPr="00000000">
        <w:rPr>
          <w:b w:val="1"/>
          <w:bCs w:val="1"/>
          <w:rtl w:val="0"/>
        </w:rPr>
        <w:t xml:space="preserve">Event Duration:</w:t>
      </w:r>
      <w:r w:rsidDel="00000000" w:rsidR="00000000" w:rsidRPr="00000000">
        <w:rPr>
          <w:rtl w:val="0"/>
        </w:rPr>
        <w:t xml:space="preserve">  The planned  </w:t>
      </w:r>
      <w:r w:rsidDel="00000000" w:rsidR="00000000" w:rsidRPr="00000000">
        <w:rPr>
          <w:b w:val="1"/>
          <w:bCs w:val="1"/>
          <w:rtl w:val="0"/>
        </w:rPr>
        <w:t xml:space="preserve">2-day format</w:t>
      </w:r>
      <w:r w:rsidDel="00000000" w:rsidR="00000000" w:rsidRPr="00000000">
        <w:rPr>
          <w:rtl w:val="0"/>
        </w:rPr>
        <w:t xml:space="preserve">  is the optimal choice, confirmed as the preferred duration by  </w:t>
      </w:r>
      <w:r w:rsidDel="00000000" w:rsidR="00000000" w:rsidRPr="00000000">
        <w:rPr>
          <w:b w:val="1"/>
          <w:bCs w:val="1"/>
          <w:rtl w:val="0"/>
        </w:rPr>
        <w:t xml:space="preserve">44.68%</w:t>
      </w:r>
      <w:r w:rsidDel="00000000" w:rsidR="00000000" w:rsidRPr="00000000">
        <w:rPr>
          <w:rtl w:val="0"/>
        </w:rPr>
        <w:t xml:space="preserve">  of respondents.</w:t>
      </w:r>
    </w:p>
    <w:p w:rsidR="00000000" w:rsidDel="00000000" w:rsidP="00000000" w:rsidRDefault="00000000" w:rsidRPr="00000000" w14:paraId="00000015">
      <w:pPr>
        <w:numPr>
          <w:ilvl w:val="0"/>
          <w:numId w:val="3"/>
        </w:numPr>
        <w:ind w:left="720" w:hanging="360"/>
        <w:rPr>
          <w:u w:val="none"/>
        </w:rPr>
      </w:pPr>
      <w:r w:rsidDel="00000000" w:rsidR="00000000" w:rsidRPr="00000000">
        <w:rPr>
          <w:b w:val="1"/>
          <w:bCs w:val="1"/>
          <w:rtl w:val="0"/>
        </w:rPr>
        <w:t xml:space="preserve">Event Scheduling:</w:t>
      </w:r>
      <w:r w:rsidDel="00000000" w:rsidR="00000000" w:rsidRPr="00000000">
        <w:rPr>
          <w:rtl w:val="0"/>
        </w:rPr>
        <w:t xml:space="preserve">  The proposed  </w:t>
      </w:r>
      <w:r w:rsidDel="00000000" w:rsidR="00000000" w:rsidRPr="00000000">
        <w:rPr>
          <w:b w:val="1"/>
          <w:bCs w:val="1"/>
          <w:rtl w:val="0"/>
        </w:rPr>
        <w:t xml:space="preserve">July 1–2, 2026</w:t>
      </w:r>
      <w:r w:rsidDel="00000000" w:rsidR="00000000" w:rsidRPr="00000000">
        <w:rPr>
          <w:rtl w:val="0"/>
        </w:rPr>
        <w:t xml:space="preserve">  dates are strongly validated. A confirmed  </w:t>
      </w:r>
      <w:r w:rsidDel="00000000" w:rsidR="00000000" w:rsidRPr="00000000">
        <w:rPr>
          <w:b w:val="1"/>
          <w:bCs w:val="1"/>
          <w:rtl w:val="0"/>
        </w:rPr>
        <w:t xml:space="preserve">59.57%</w:t>
      </w:r>
      <w:r w:rsidDel="00000000" w:rsidR="00000000" w:rsidRPr="00000000">
        <w:rPr>
          <w:rtl w:val="0"/>
        </w:rPr>
        <w:t xml:space="preserve">  of attendees will attend on these dates. Furthermore, the  </w:t>
      </w:r>
      <w:r w:rsidDel="00000000" w:rsidR="00000000" w:rsidRPr="00000000">
        <w:rPr>
          <w:b w:val="1"/>
          <w:bCs w:val="1"/>
          <w:rtl w:val="0"/>
        </w:rPr>
        <w:t xml:space="preserve">31.91%</w:t>
      </w:r>
      <w:r w:rsidDel="00000000" w:rsidR="00000000" w:rsidRPr="00000000">
        <w:rPr>
          <w:rtl w:val="0"/>
        </w:rPr>
        <w:t xml:space="preserve">  who answered "Maybe" represent a large, persuadable segment that must become a primary target for our marketing campaign, with a clear objective to convert their interest into confirmed attendance.This feedback provides an unequivocal directive to proceed with a 2-day event scheduled for July 1–2, 2026. The alignment between our operational plan and the expressed preferences of our audience provides a high degree of strategic confidence.</w:t>
      </w:r>
    </w:p>
    <w:p w:rsidR="00000000" w:rsidDel="00000000" w:rsidP="00000000" w:rsidRDefault="00000000" w:rsidRPr="00000000" w14:paraId="00000016">
      <w:pPr>
        <w:pStyle w:val="Heading5"/>
        <w:rPr/>
      </w:pPr>
      <w:bookmarkStart w:colFirst="0" w:colLast="0" w:name="_twu6qkw886f0" w:id="6"/>
      <w:bookmarkEnd w:id="6"/>
      <w:r w:rsidDel="00000000" w:rsidR="00000000" w:rsidRPr="00000000">
        <w:rPr>
          <w:rtl w:val="0"/>
        </w:rPr>
        <w:t xml:space="preserve">Conclusion</w:t>
      </w:r>
    </w:p>
    <w:p w:rsidR="00000000" w:rsidDel="00000000" w:rsidP="00000000" w:rsidRDefault="00000000" w:rsidRPr="00000000" w14:paraId="00000017">
      <w:pPr>
        <w:rPr/>
      </w:pPr>
      <w:r w:rsidDel="00000000" w:rsidR="00000000" w:rsidRPr="00000000">
        <w:rPr>
          <w:rtl w:val="0"/>
        </w:rPr>
        <w:t xml:space="preserve">The attendee survey furnishes a clear strategic blueprint for Forensics Europe Expo 2026. The data confirms the event attracts a high-value international audience that forms a unique practitioner-researcher-enforcement ecosystem. This audience wields direct and substantial purchasing power, with clear content priorities that mandate a three-pillar conference program centered on Scenes of Crime, Laboratory Sciences, and Mobile &amp; Data Forensics. The proposed 2-day format and July 2026 dates are decisively validated. These findings provide a firm, evidence-based endorsement of our strategic and operational direction, positioning the 2026 event for significant success.</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