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y02t5fylmy8c" w:id="0"/>
      <w:bookmarkEnd w:id="0"/>
      <w:r w:rsidDel="00000000" w:rsidR="00000000" w:rsidRPr="00000000">
        <w:rPr>
          <w:rtl w:val="0"/>
        </w:rPr>
        <w:t xml:space="preserve">Marketplace Insight: A Competitive Analysis for Forensics Europe Expo 2026</w:t>
      </w:r>
    </w:p>
    <w:p w:rsidR="00000000" w:rsidDel="00000000" w:rsidP="00000000" w:rsidRDefault="00000000" w:rsidRPr="00000000" w14:paraId="00000002">
      <w:pPr>
        <w:pStyle w:val="Heading5"/>
        <w:rPr/>
      </w:pPr>
      <w:bookmarkStart w:colFirst="0" w:colLast="0" w:name="_fvzn0fq850lj" w:id="1"/>
      <w:bookmarkEnd w:id="1"/>
      <w:r w:rsidDel="00000000" w:rsidR="00000000" w:rsidRPr="00000000">
        <w:rPr>
          <w:rtl w:val="0"/>
        </w:rPr>
        <w:t xml:space="preserve">1.0 Situational Analysis: Defining the Competitive Arena</w:t>
      </w:r>
    </w:p>
    <w:p w:rsidR="00000000" w:rsidDel="00000000" w:rsidP="00000000" w:rsidRDefault="00000000" w:rsidRPr="00000000" w14:paraId="00000003">
      <w:pPr>
        <w:rPr/>
      </w:pPr>
      <w:r w:rsidDel="00000000" w:rsidR="00000000" w:rsidRPr="00000000">
        <w:rPr>
          <w:rtl w:val="0"/>
        </w:rPr>
        <w:t xml:space="preserve">To ensure market leadership, a deep and objective understanding of the competitive landscape is not merely advantageous—it is essential. This analysis leverages recent survey data to map the behaviors, motivations, and allegiances of the target audience for Forensics Europe Expo (FEE). By dissecting where potential attendees currently invest their time and what drives their decision-making, we can identify critical threats and significant opportunities. The core objective of this report is to provide actionable intelligence that will inform a market-winning strategy for FEE 2026, focusing specifically on effective audience acquisition and the cultivation of a unique, compelling value proposition. We begin by examining where our target audience currently allocates its attention within the event marketplace.</w:t>
      </w:r>
    </w:p>
    <w:p w:rsidR="00000000" w:rsidDel="00000000" w:rsidP="00000000" w:rsidRDefault="00000000" w:rsidRPr="00000000" w14:paraId="00000004">
      <w:pPr>
        <w:pStyle w:val="Heading5"/>
        <w:rPr/>
      </w:pPr>
      <w:bookmarkStart w:colFirst="0" w:colLast="0" w:name="_z6yxgh50lp08" w:id="2"/>
      <w:bookmarkEnd w:id="2"/>
      <w:r w:rsidDel="00000000" w:rsidR="00000000" w:rsidRPr="00000000">
        <w:rPr>
          <w:rtl w:val="0"/>
        </w:rPr>
        <w:t xml:space="preserve">2.0 Market Overlap: Mapping Audience Engagement with Key Competitors</w:t>
      </w:r>
    </w:p>
    <w:p w:rsidR="00000000" w:rsidDel="00000000" w:rsidP="00000000" w:rsidRDefault="00000000" w:rsidRPr="00000000" w14:paraId="00000005">
      <w:pPr>
        <w:rPr/>
      </w:pPr>
      <w:r w:rsidDel="00000000" w:rsidR="00000000" w:rsidRPr="00000000">
        <w:rPr>
          <w:rtl w:val="0"/>
        </w:rPr>
        <w:t xml:space="preserve">To capture market share, we must first understand where it is currently consolidated. This section quantifies the degree of market overlap by analyzing audience attendance at two major competing industry events. The data reveals that a substantial portion of our target demographic is actively engaged with established competitors, indicating both a challenge in shifting entrenched behaviors and a significant opportunity to engage a proven, accessible audience.</w:t>
      </w:r>
      <w:r w:rsidDel="00000000" w:rsidR="00000000" w:rsidRPr="00000000">
        <w:rPr>
          <w:b w:val="1"/>
          <w:bCs w:val="1"/>
          <w:rtl w:val="0"/>
        </w:rPr>
        <w:t xml:space="preserve">Audience Overlap with Major Industry Events</w:t>
      </w:r>
      <w:r w:rsidDel="00000000" w:rsidR="00000000" w:rsidRPr="00000000">
        <w:rPr>
          <w:rtl w:val="0"/>
        </w:rPr>
        <w:t xml:space="preserve">| Competitor Event | Percentage of Survey Respondents Attending || ------ | ------ || The Blue Light Show | 34.04% || International Security Expo | 27.66% |</w:t>
      </w:r>
    </w:p>
    <w:p w:rsidR="00000000" w:rsidDel="00000000" w:rsidP="00000000" w:rsidRDefault="00000000" w:rsidRPr="00000000" w14:paraId="00000006">
      <w:pPr>
        <w:rPr/>
      </w:pPr>
      <w:r w:rsidDel="00000000" w:rsidR="00000000" w:rsidRPr="00000000">
        <w:rPr>
          <w:rtl w:val="0"/>
        </w:rPr>
        <w:t xml:space="preserve">These figures reveal a critical reality: over a third of our target market attends The Blue Light Show, and more than a quarter attends the International Security Expo. This overlap is an opportunity to execute a highly efficient marketing campaign, as this audience has already demonstrated a budget, a willingness to travel, and an active interest in industry events. Our challenge is not market creation, but market capture through superior differentiation. Having established  </w:t>
      </w:r>
      <w:r w:rsidDel="00000000" w:rsidR="00000000" w:rsidRPr="00000000">
        <w:rPr>
          <w:i w:val="1"/>
          <w:iCs w:val="1"/>
          <w:rtl w:val="0"/>
        </w:rPr>
        <w:t xml:space="preserve">where</w:t>
      </w:r>
      <w:r w:rsidDel="00000000" w:rsidR="00000000" w:rsidRPr="00000000">
        <w:rPr>
          <w:rtl w:val="0"/>
        </w:rPr>
        <w:t xml:space="preserve">  this audience goes, we now turn to the crucial question of  </w:t>
      </w:r>
      <w:r w:rsidDel="00000000" w:rsidR="00000000" w:rsidRPr="00000000">
        <w:rPr>
          <w:i w:val="1"/>
          <w:iCs w:val="1"/>
          <w:rtl w:val="0"/>
        </w:rPr>
        <w:t xml:space="preserve">who</w:t>
      </w:r>
      <w:r w:rsidDel="00000000" w:rsidR="00000000" w:rsidRPr="00000000">
        <w:rPr>
          <w:rtl w:val="0"/>
        </w:rPr>
        <w:t xml:space="preserve">  they look to for leadership and innovation.</w:t>
      </w:r>
    </w:p>
    <w:p w:rsidR="00000000" w:rsidDel="00000000" w:rsidP="00000000" w:rsidRDefault="00000000" w:rsidRPr="00000000" w14:paraId="00000007">
      <w:pPr>
        <w:pStyle w:val="Heading5"/>
        <w:rPr/>
      </w:pPr>
      <w:bookmarkStart w:colFirst="0" w:colLast="0" w:name="_kvsgeoslsmax" w:id="3"/>
      <w:bookmarkEnd w:id="3"/>
      <w:r w:rsidDel="00000000" w:rsidR="00000000" w:rsidRPr="00000000">
        <w:rPr>
          <w:rtl w:val="0"/>
        </w:rPr>
        <w:t xml:space="preserve">3.0 Benchmarking Best Practice: Identifying Perceived Industry Leaders</w:t>
      </w:r>
    </w:p>
    <w:p w:rsidR="00000000" w:rsidDel="00000000" w:rsidP="00000000" w:rsidRDefault="00000000" w:rsidRPr="00000000" w14:paraId="00000008">
      <w:pPr>
        <w:rPr/>
      </w:pPr>
      <w:r w:rsidDel="00000000" w:rsidR="00000000" w:rsidRPr="00000000">
        <w:rPr>
          <w:rtl w:val="0"/>
        </w:rPr>
        <w:t xml:space="preserve">Understanding which organizations the audience perceives as benchmarks for innovation is a matter of strategic importance. This insight is crucial for aligning FEE 2026 content, speakers, and partnerships with recognized industry leaders, thereby enhancing the event's credibility and appeal. To this end, the survey asked respondents,  </w:t>
      </w:r>
      <w:r w:rsidDel="00000000" w:rsidR="00000000" w:rsidRPr="00000000">
        <w:rPr>
          <w:i w:val="1"/>
          <w:iCs w:val="1"/>
          <w:rtl w:val="0"/>
        </w:rPr>
        <w:t xml:space="preserve">"Which organisations, regions, or forces do you look to as benchmarks for best practice and policy innovation?"</w:t>
      </w:r>
      <w:r w:rsidDel="00000000" w:rsidR="00000000" w:rsidRPr="00000000">
        <w:rPr>
          <w:rtl w:val="0"/>
        </w:rPr>
        <w:t xml:space="preserve">  (Q16).Critically, while the survey question was posed to 32 respondents, the specific answers identifying these benchmark entities are not available in the provided source data. This represents a significant intelligence gap. However, while we do not yet know  </w:t>
      </w:r>
      <w:r w:rsidDel="00000000" w:rsidR="00000000" w:rsidRPr="00000000">
        <w:rPr>
          <w:i w:val="1"/>
          <w:iCs w:val="1"/>
          <w:rtl w:val="0"/>
        </w:rPr>
        <w:t xml:space="preserve">who</w:t>
      </w:r>
      <w:r w:rsidDel="00000000" w:rsidR="00000000" w:rsidRPr="00000000">
        <w:rPr>
          <w:rtl w:val="0"/>
        </w:rPr>
        <w:t xml:space="preserve">  the audience admires, the data in the following section gives us a powerful proxy: they admire  </w:t>
      </w:r>
      <w:r w:rsidDel="00000000" w:rsidR="00000000" w:rsidRPr="00000000">
        <w:rPr>
          <w:i w:val="1"/>
          <w:iCs w:val="1"/>
          <w:rtl w:val="0"/>
        </w:rPr>
        <w:t xml:space="preserve">practitioners</w:t>
      </w:r>
      <w:r w:rsidDel="00000000" w:rsidR="00000000" w:rsidRPr="00000000">
        <w:rPr>
          <w:rtl w:val="0"/>
        </w:rPr>
        <w:t xml:space="preserve">  who can teach them new  </w:t>
      </w:r>
      <w:r w:rsidDel="00000000" w:rsidR="00000000" w:rsidRPr="00000000">
        <w:rPr>
          <w:i w:val="1"/>
          <w:iCs w:val="1"/>
          <w:rtl w:val="0"/>
        </w:rPr>
        <w:t xml:space="preserve">techniques</w:t>
      </w:r>
      <w:r w:rsidDel="00000000" w:rsidR="00000000" w:rsidRPr="00000000">
        <w:rPr>
          <w:rtl w:val="0"/>
        </w:rPr>
        <w:t xml:space="preserve"> . This reframes the intelligence gap as a manageable issue and strengthens the subsequent argument that our content strategy is the key to winning this market.</w:t>
      </w:r>
    </w:p>
    <w:p w:rsidR="00000000" w:rsidDel="00000000" w:rsidP="00000000" w:rsidRDefault="00000000" w:rsidRPr="00000000" w14:paraId="00000009">
      <w:pPr>
        <w:pStyle w:val="Heading5"/>
        <w:rPr/>
      </w:pPr>
      <w:bookmarkStart w:colFirst="0" w:colLast="0" w:name="_pet43zswgwz4" w:id="4"/>
      <w:bookmarkEnd w:id="4"/>
      <w:r w:rsidDel="00000000" w:rsidR="00000000" w:rsidRPr="00000000">
        <w:rPr>
          <w:rtl w:val="0"/>
        </w:rPr>
        <w:t xml:space="preserve">4.0 The Content Opportunity: Exploiting the Gap Between Learning and Demonstration</w:t>
      </w:r>
    </w:p>
    <w:p w:rsidR="00000000" w:rsidDel="00000000" w:rsidP="00000000" w:rsidRDefault="00000000" w:rsidRPr="00000000" w14:paraId="0000000A">
      <w:pPr>
        <w:rPr/>
      </w:pPr>
      <w:r w:rsidDel="00000000" w:rsidR="00000000" w:rsidRPr="00000000">
        <w:rPr>
          <w:rtl w:val="0"/>
        </w:rPr>
        <w:t xml:space="preserve">An attendee's core motivation for participating in an event is the primary driver of their choice. This section dissects the stated priorities of our target audience to uncover a strategic gap in the market—a gap that Forensics Europe Expo 2026 is uniquely positioned to exploit. Analysis of survey responses reveals the defining strategic lever for FEE 2026.</w:t>
      </w:r>
    </w:p>
    <w:p w:rsidR="00000000" w:rsidDel="00000000" w:rsidP="00000000" w:rsidRDefault="00000000" w:rsidRPr="00000000" w14:paraId="0000000B">
      <w:pPr>
        <w:numPr>
          <w:ilvl w:val="0"/>
          <w:numId w:val="2"/>
        </w:numPr>
        <w:ind w:left="720" w:hanging="360"/>
        <w:rPr>
          <w:u w:val="none"/>
        </w:rPr>
      </w:pPr>
      <w:r w:rsidDel="00000000" w:rsidR="00000000" w:rsidRPr="00000000">
        <w:rPr>
          <w:b w:val="1"/>
          <w:bCs w:val="1"/>
          <w:rtl w:val="0"/>
        </w:rPr>
        <w:t xml:space="preserve">High Priority:</w:t>
      </w:r>
      <w:r w:rsidDel="00000000" w:rsidR="00000000" w:rsidRPr="00000000">
        <w:rPr>
          <w:rtl w:val="0"/>
        </w:rPr>
        <w:t xml:space="preserve">   </w:t>
      </w:r>
      <w:r w:rsidDel="00000000" w:rsidR="00000000" w:rsidRPr="00000000">
        <w:rPr>
          <w:b w:val="1"/>
          <w:bCs w:val="1"/>
          <w:rtl w:val="0"/>
        </w:rPr>
        <w:t xml:space="preserve">59.57%</w:t>
      </w:r>
      <w:r w:rsidDel="00000000" w:rsidR="00000000" w:rsidRPr="00000000">
        <w:rPr>
          <w:rtl w:val="0"/>
        </w:rPr>
        <w:t xml:space="preserve">  of respondents attend events to  </w:t>
      </w:r>
      <w:r w:rsidDel="00000000" w:rsidR="00000000" w:rsidRPr="00000000">
        <w:rPr>
          <w:b w:val="1"/>
          <w:bCs w:val="1"/>
          <w:rtl w:val="0"/>
        </w:rPr>
        <w:t xml:space="preserve">"Learn about new forensic techniques and technologies."</w:t>
      </w:r>
    </w:p>
    <w:p w:rsidR="00000000" w:rsidDel="00000000" w:rsidP="00000000" w:rsidRDefault="00000000" w:rsidRPr="00000000" w14:paraId="0000000C">
      <w:pPr>
        <w:numPr>
          <w:ilvl w:val="0"/>
          <w:numId w:val="2"/>
        </w:numPr>
        <w:ind w:left="720" w:hanging="360"/>
        <w:rPr>
          <w:u w:val="none"/>
        </w:rPr>
      </w:pPr>
      <w:r w:rsidDel="00000000" w:rsidR="00000000" w:rsidRPr="00000000">
        <w:rPr>
          <w:b w:val="1"/>
          <w:bCs w:val="1"/>
          <w:rtl w:val="0"/>
        </w:rPr>
        <w:t xml:space="preserve">Lower Priority:</w:t>
      </w:r>
      <w:r w:rsidDel="00000000" w:rsidR="00000000" w:rsidRPr="00000000">
        <w:rPr>
          <w:rtl w:val="0"/>
        </w:rPr>
        <w:t xml:space="preserve">  Only  </w:t>
      </w:r>
      <w:r w:rsidDel="00000000" w:rsidR="00000000" w:rsidRPr="00000000">
        <w:rPr>
          <w:b w:val="1"/>
          <w:bCs w:val="1"/>
          <w:rtl w:val="0"/>
        </w:rPr>
        <w:t xml:space="preserve">27.66%</w:t>
      </w:r>
      <w:r w:rsidDel="00000000" w:rsidR="00000000" w:rsidRPr="00000000">
        <w:rPr>
          <w:rtl w:val="0"/>
        </w:rPr>
        <w:t xml:space="preserve">  of respondents attend specifically to  </w:t>
      </w:r>
      <w:r w:rsidDel="00000000" w:rsidR="00000000" w:rsidRPr="00000000">
        <w:rPr>
          <w:b w:val="1"/>
          <w:bCs w:val="1"/>
          <w:rtl w:val="0"/>
        </w:rPr>
        <w:t xml:space="preserve">"See live demonstrations of forensic equipment/ software."</w:t>
      </w:r>
      <w:r w:rsidDel="00000000" w:rsidR="00000000" w:rsidRPr="00000000">
        <w:rPr>
          <w:rtl w:val="0"/>
        </w:rPr>
        <w:t xml:space="preserve">This 2:1 preference for practical learning over passive demonstration is a strategic vulnerability in the market that FEE 2026 must exploit. The data reveals a critical weakness in competitor events that likely over-index on static, "show and tell" product showcases at the expense of genuine, skills-based education.This insight is the key to unlocking a decisive competitive advantage. FEE 2026 must differentiate itself by designing and promoting a content program focused on interactive, technique-oriented learning experiences. By moving beyond traditional product showcases to offer hands-on workshops and expert-led masterclasses, we can directly address the primary motivation of our target audience. This unique content focus can be leveraged to capture market share from specific competitors, particularly those in niche technical fields.</w:t>
      </w:r>
    </w:p>
    <w:p w:rsidR="00000000" w:rsidDel="00000000" w:rsidP="00000000" w:rsidRDefault="00000000" w:rsidRPr="00000000" w14:paraId="0000000D">
      <w:pPr>
        <w:pStyle w:val="Heading5"/>
        <w:rPr/>
      </w:pPr>
      <w:bookmarkStart w:colFirst="0" w:colLast="0" w:name="_jwr57u1vwtyi" w:id="5"/>
      <w:bookmarkEnd w:id="5"/>
      <w:r w:rsidDel="00000000" w:rsidR="00000000" w:rsidRPr="00000000">
        <w:rPr>
          <w:rtl w:val="0"/>
        </w:rPr>
        <w:t xml:space="preserve">5.0 Strategic Pivot: A Plan to Win Market Share from the 'Techno Security &amp; Digital Forensics Conference'</w:t>
      </w:r>
    </w:p>
    <w:p w:rsidR="00000000" w:rsidDel="00000000" w:rsidP="00000000" w:rsidRDefault="00000000" w:rsidRPr="00000000" w14:paraId="0000000E">
      <w:pPr>
        <w:rPr/>
      </w:pPr>
      <w:r w:rsidDel="00000000" w:rsidR="00000000" w:rsidRPr="00000000">
        <w:rPr>
          <w:rtl w:val="0"/>
        </w:rPr>
        <w:t xml:space="preserve">A broad market strategy is most effectively executed through precise, targeted actions against specific competitors. Based on the available data, the 'Techno Security &amp; Digital Forensics Conference' represents an ideal target for a focused market share acquisition campaign. This conference is the ideal target precisely because its audience, by definition, is focused on a technical discipline where  </w:t>
      </w:r>
      <w:r w:rsidDel="00000000" w:rsidR="00000000" w:rsidRPr="00000000">
        <w:rPr>
          <w:i w:val="1"/>
          <w:iCs w:val="1"/>
          <w:rtl w:val="0"/>
        </w:rPr>
        <w:t xml:space="preserve">techniques</w:t>
      </w:r>
      <w:r w:rsidDel="00000000" w:rsidR="00000000" w:rsidRPr="00000000">
        <w:rPr>
          <w:rtl w:val="0"/>
        </w:rPr>
        <w:t xml:space="preserve">  evolve faster than hardware. They are the segment most likely to be frustrated by static product showcases and most receptive to our proposed pivot towards dynamic, hands-on learning. According to survey data, this competitor currently attracts  </w:t>
      </w:r>
      <w:r w:rsidDel="00000000" w:rsidR="00000000" w:rsidRPr="00000000">
        <w:rPr>
          <w:b w:val="1"/>
          <w:bCs w:val="1"/>
          <w:rtl w:val="0"/>
        </w:rPr>
        <w:t xml:space="preserve">10.64%</w:t>
      </w:r>
      <w:r w:rsidDel="00000000" w:rsidR="00000000" w:rsidRPr="00000000">
        <w:rPr>
          <w:rtl w:val="0"/>
        </w:rPr>
        <w:t xml:space="preserve">  of our target audience—a significant and highly focused market segment ripe for capture.By synthesizing the insights from the preceding analysis, a clear, data-driven strategic imperative emerges:</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Develop Superior Content:</w:t>
      </w:r>
      <w:r w:rsidDel="00000000" w:rsidR="00000000" w:rsidRPr="00000000">
        <w:rPr>
          <w:rtl w:val="0"/>
        </w:rPr>
        <w:t xml:space="preserve">  Marketing and content planning for FEE 2026 must create and heavily promote a dedicated track on digital forensics. This track must move beyond product pitches to feature hands-on workshops and deep-dive sessions on  </w:t>
      </w:r>
      <w:r w:rsidDel="00000000" w:rsidR="00000000" w:rsidRPr="00000000">
        <w:rPr>
          <w:i w:val="1"/>
          <w:iCs w:val="1"/>
          <w:rtl w:val="0"/>
        </w:rPr>
        <w:t xml:space="preserve">new techniques</w:t>
      </w:r>
      <w:r w:rsidDel="00000000" w:rsidR="00000000" w:rsidRPr="00000000">
        <w:rPr>
          <w:rtl w:val="0"/>
        </w:rPr>
        <w:t xml:space="preserve"> , directly appealing to the primary motivation of the audience segment currently attending the 'Techno Security' conference.</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Execute Targeted Marketing:</w:t>
      </w:r>
      <w:r w:rsidDel="00000000" w:rsidR="00000000" w:rsidRPr="00000000">
        <w:rPr>
          <w:rtl w:val="0"/>
        </w:rPr>
        <w:t xml:space="preserve">  A direct marketing campaign must be launched at the known audience of the 'Techno Security &amp; Digital Forensics Conference'. Messaging must explicitly highlight FEE 2026's differentiated focus on immersive learning, practical application, and skill development, positioning it as the premier destination for professionals who want to  </w:t>
      </w:r>
      <w:r w:rsidDel="00000000" w:rsidR="00000000" w:rsidRPr="00000000">
        <w:rPr>
          <w:i w:val="1"/>
          <w:iCs w:val="1"/>
          <w:rtl w:val="0"/>
        </w:rPr>
        <w:t xml:space="preserve">learn</w:t>
      </w:r>
      <w:r w:rsidDel="00000000" w:rsidR="00000000" w:rsidRPr="00000000">
        <w:rPr>
          <w:rtl w:val="0"/>
        </w:rPr>
        <w:t xml:space="preserve">  rather than just  </w:t>
      </w:r>
      <w:r w:rsidDel="00000000" w:rsidR="00000000" w:rsidRPr="00000000">
        <w:rPr>
          <w:i w:val="1"/>
          <w:iCs w:val="1"/>
          <w:rtl w:val="0"/>
        </w:rPr>
        <w:t xml:space="preserve">look</w:t>
      </w:r>
      <w:r w:rsidDel="00000000" w:rsidR="00000000" w:rsidRPr="00000000">
        <w:rPr>
          <w:rtl w:val="0"/>
        </w:rPr>
        <w:t xml:space="preserve"> .This targeted approach provides a clear, measurable, and data-driven path to erode a key competitor's base and strategically grow attendance for Forensics Europe Expo 2026.</w:t>
      </w:r>
    </w:p>
    <w:p w:rsidR="00000000" w:rsidDel="00000000" w:rsidP="00000000" w:rsidRDefault="00000000" w:rsidRPr="00000000" w14:paraId="00000011">
      <w:pPr>
        <w:pStyle w:val="Heading5"/>
        <w:rPr/>
      </w:pPr>
      <w:bookmarkStart w:colFirst="0" w:colLast="0" w:name="_3s3gki6h3ben" w:id="6"/>
      <w:bookmarkEnd w:id="6"/>
      <w:r w:rsidDel="00000000" w:rsidR="00000000" w:rsidRPr="00000000">
        <w:rPr>
          <w:rtl w:val="0"/>
        </w:rPr>
        <w:t xml:space="preserve">6.0 Summary of Strategic Recommendations</w:t>
      </w:r>
    </w:p>
    <w:p w:rsidR="00000000" w:rsidDel="00000000" w:rsidP="00000000" w:rsidRDefault="00000000" w:rsidRPr="00000000" w14:paraId="00000012">
      <w:pPr>
        <w:rPr/>
      </w:pPr>
      <w:r w:rsidDel="00000000" w:rsidR="00000000" w:rsidRPr="00000000">
        <w:rPr>
          <w:rtl w:val="0"/>
        </w:rPr>
        <w:t xml:space="preserve">The preceding analysis yields four clear, actionable imperatives for ensuring the success of Forensics Europe Expo 2026. By translating these data-driven insights into tactical initiatives, the event will achieve a distinct and decisive competitive advantage.</w:t>
      </w:r>
    </w:p>
    <w:p w:rsidR="00000000" w:rsidDel="00000000" w:rsidP="00000000" w:rsidRDefault="00000000" w:rsidRPr="00000000" w14:paraId="00000013">
      <w:pPr>
        <w:numPr>
          <w:ilvl w:val="0"/>
          <w:numId w:val="3"/>
        </w:numPr>
        <w:ind w:left="720" w:hanging="360"/>
        <w:rPr>
          <w:u w:val="none"/>
        </w:rPr>
      </w:pPr>
      <w:r w:rsidDel="00000000" w:rsidR="00000000" w:rsidRPr="00000000">
        <w:rPr>
          <w:b w:val="1"/>
          <w:bCs w:val="1"/>
          <w:rtl w:val="0"/>
        </w:rPr>
        <w:t xml:space="preserve">Target Audience Crossover:</w:t>
      </w:r>
      <w:r w:rsidDel="00000000" w:rsidR="00000000" w:rsidRPr="00000000">
        <w:rPr>
          <w:rtl w:val="0"/>
        </w:rPr>
        <w:t xml:space="preserve">  Launch direct marketing campaigns to the audiences of The Blue Light Show (34.04%) and International Security Expo (27.66%), emphasizing FEE's unique, technique-focused content.</w:t>
      </w:r>
    </w:p>
    <w:p w:rsidR="00000000" w:rsidDel="00000000" w:rsidP="00000000" w:rsidRDefault="00000000" w:rsidRPr="00000000" w14:paraId="00000014">
      <w:pPr>
        <w:numPr>
          <w:ilvl w:val="0"/>
          <w:numId w:val="3"/>
        </w:numPr>
        <w:ind w:left="720" w:hanging="360"/>
        <w:rPr>
          <w:u w:val="none"/>
        </w:rPr>
      </w:pPr>
      <w:r w:rsidDel="00000000" w:rsidR="00000000" w:rsidRPr="00000000">
        <w:rPr>
          <w:b w:val="1"/>
          <w:bCs w:val="1"/>
          <w:rtl w:val="0"/>
        </w:rPr>
        <w:t xml:space="preserve">Build Content Around Learning:</w:t>
      </w:r>
      <w:r w:rsidDel="00000000" w:rsidR="00000000" w:rsidRPr="00000000">
        <w:rPr>
          <w:rtl w:val="0"/>
        </w:rPr>
        <w:t xml:space="preserve">  Design the core program to meet the top attendee motivation (59.57%) by prioritizing interactive workshops and skills-based sessions over traditional product demonstrations.</w:t>
      </w:r>
    </w:p>
    <w:p w:rsidR="00000000" w:rsidDel="00000000" w:rsidP="00000000" w:rsidRDefault="00000000" w:rsidRPr="00000000" w14:paraId="00000015">
      <w:pPr>
        <w:numPr>
          <w:ilvl w:val="0"/>
          <w:numId w:val="3"/>
        </w:numPr>
        <w:ind w:left="720" w:hanging="360"/>
        <w:rPr>
          <w:u w:val="none"/>
        </w:rPr>
      </w:pPr>
      <w:r w:rsidDel="00000000" w:rsidR="00000000" w:rsidRPr="00000000">
        <w:rPr>
          <w:b w:val="1"/>
          <w:bCs w:val="1"/>
          <w:rtl w:val="0"/>
        </w:rPr>
        <w:t xml:space="preserve">Capture Niche Market Share:</w:t>
      </w:r>
      <w:r w:rsidDel="00000000" w:rsidR="00000000" w:rsidRPr="00000000">
        <w:rPr>
          <w:rtl w:val="0"/>
        </w:rPr>
        <w:t xml:space="preserve">  Execute a focused campaign to win the 10.64% audience from the 'Techno Security &amp; Digital Forensics Conference' by promoting superior, hands-on learning opportunities.</w:t>
      </w:r>
    </w:p>
    <w:p w:rsidR="00000000" w:rsidDel="00000000" w:rsidP="00000000" w:rsidRDefault="00000000" w:rsidRPr="00000000" w14:paraId="00000016">
      <w:pPr>
        <w:numPr>
          <w:ilvl w:val="0"/>
          <w:numId w:val="3"/>
        </w:numPr>
        <w:ind w:left="720" w:hanging="360"/>
        <w:rPr>
          <w:u w:val="none"/>
        </w:rPr>
      </w:pPr>
      <w:r w:rsidDel="00000000" w:rsidR="00000000" w:rsidRPr="00000000">
        <w:rPr>
          <w:b w:val="1"/>
          <w:bCs w:val="1"/>
          <w:rtl w:val="0"/>
        </w:rPr>
        <w:t xml:space="preserve">Close the Innovation Intelligence Gap:</w:t>
      </w:r>
      <w:r w:rsidDel="00000000" w:rsidR="00000000" w:rsidRPr="00000000">
        <w:rPr>
          <w:rtl w:val="0"/>
        </w:rPr>
        <w:t xml:space="preserve">  Commission research to identify the audience's perceived innovation leaders, a critical step to inform future content, secure high-value partnerships, and ensure long-term market relevance.</w:t>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