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2541A"/>
          <w:sz w:val="30"/>
          <w:szCs w:val="30"/>
        </w:rPr>
        <w:t xml:space="preserve">GOKUL FINANCE SERVICE</w:t>
      </w:r>
    </w:p>
    <w:p>
      <w:pPr>
        <w:spacing w:after="300"/>
      </w:pPr>
      <w:r>
        <w:rPr>
          <w:b/>
          <w:bCs/>
          <w:color w:val="1F2937"/>
          <w:sz w:val="44"/>
          <w:szCs w:val="44"/>
        </w:rPr>
        <w:t xml:space="preserve">Privacy Policy</w:t>
      </w:r>
    </w:p>
    <w:p>
      <w:pPr>
        <w:spacing w:after="60"/>
      </w:pPr>
      <w:r>
        <w:rPr>
          <w:color w:val="6B7280"/>
          <w:sz w:val="20"/>
          <w:szCs w:val="20"/>
        </w:rPr>
        <w:t xml:space="preserve">Effective date: [Insert Date]</w:t>
      </w:r>
    </w:p>
    <w:p>
      <w:pPr>
        <w:spacing w:after="300"/>
      </w:pPr>
      <w:r>
        <w:rPr>
          <w:color w:val="6B7280"/>
          <w:sz w:val="20"/>
          <w:szCs w:val="20"/>
        </w:rPr>
        <w:t xml:space="preserve">Last updated: [Insert Date]</w:t>
      </w:r>
    </w:p>
    <w:p>
      <w:pPr>
        <w:pBdr>
          <w:left w:val="single" w:color="C2541A" w:sz="18" w:space="8"/>
        </w:pBdr>
        <w:spacing w:after="200" w:before="100" w:line="300"/>
      </w:pPr>
      <w:r>
        <w:rPr>
          <w:i/>
          <w:iCs/>
          <w:color w:val="6B7280"/>
          <w:sz w:val="21"/>
          <w:szCs w:val="21"/>
        </w:rPr>
        <w:t xml:space="preserve">This is a general-purpose template, not legal advice. Because this website collects Aadhaar, PAN, bank, and credit data, it qualifies as processing sensitive financial and identity information under India's Digital Personal Data Protection Act, 2023 (DPDP Act) and related RBI data-handling norms. Have a qualified lawyer review this policy, confirm your Aadhaar-handling process complies with the Aadhaar Act, 2016 and UIDAI guidelines, and replace all bracketed placeholders before publishing.</w:t>
      </w:r>
    </w:p>
    <w:p>
      <w:pPr>
        <w:pStyle w:val="Heading1"/>
      </w:pPr>
      <w:r>
        <w:t xml:space="preserve">1. Introduction</w:t>
      </w:r>
    </w:p>
    <w:p>
      <w:pPr>
        <w:spacing w:after="160" w:line="300"/>
      </w:pPr>
      <w:r>
        <w:t xml:space="preserve">Gokul Finance Service (“we,” “us,” “our,” or the “Company”), having its registered office at [Insert Registered Address], India, is committed to protecting the privacy of individuals who visit our website or apply for our loan services (“you” or “Data Principal”). This Privacy Policy explains what personal data we collect, how we use it, who we share it with, and the rights available to you under the Digital Personal Data Protection Act, 2023 (“DPDP Act”) and other applicable Indian law.</w:t>
      </w:r>
    </w:p>
    <w:p>
      <w:pPr>
        <w:spacing w:after="160" w:line="300"/>
      </w:pPr>
      <w:r>
        <w:t xml:space="preserve">By using our website or submitting a loan application, you consent to the collection and processing of your personal data as described in this Policy.</w:t>
      </w:r>
    </w:p>
    <w:p>
      <w:pPr>
        <w:pStyle w:val="Heading1"/>
      </w:pPr>
      <w:r>
        <w:t xml:space="preserve">2. Personal Data We Collect</w:t>
      </w:r>
    </w:p>
    <w:p>
      <w:pPr>
        <w:spacing w:after="160" w:line="300"/>
      </w:pPr>
      <w:r>
        <w:t xml:space="preserve">Depending on the service you use, we may collect the following categories of personal data, including sensitive financial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9C3B5" w:sz="2"/>
              <w:left w:val="single" w:color="D9C3B5" w:sz="2"/>
              <w:bottom w:val="single" w:color="D9C3B5" w:sz="2"/>
              <w:right w:val="single" w:color="D9C3B5" w:sz="2"/>
            </w:tcBorders>
            <w:shd w:fill="FBEAE0" w:val="clear"/>
            <w:tcMar>
              <w:top w:type="dxa" w:w="80"/>
              <w:left w:type="dxa" w:w="120"/>
              <w:bottom w:type="dxa" w:w="80"/>
              <w:right w:type="dxa" w:w="120"/>
            </w:tcMar>
          </w:tcPr>
          <w:p>
            <w:r>
              <w:rPr>
                <w:b/>
                <w:bCs/>
                <w:sz w:val="20"/>
                <w:szCs w:val="20"/>
              </w:rPr>
              <w:t xml:space="preserve">Category</w:t>
            </w:r>
          </w:p>
        </w:tc>
        <w:tc>
          <w:tcPr>
            <w:tcW w:type="dxa" w:w="4160"/>
            <w:tcBorders>
              <w:top w:val="single" w:color="D9C3B5" w:sz="2"/>
              <w:left w:val="single" w:color="D9C3B5" w:sz="2"/>
              <w:bottom w:val="single" w:color="D9C3B5" w:sz="2"/>
              <w:right w:val="single" w:color="D9C3B5" w:sz="2"/>
            </w:tcBorders>
            <w:shd w:fill="FBEAE0" w:val="clear"/>
            <w:tcMar>
              <w:top w:type="dxa" w:w="80"/>
              <w:left w:type="dxa" w:w="120"/>
              <w:bottom w:type="dxa" w:w="80"/>
              <w:right w:type="dxa" w:w="120"/>
            </w:tcMar>
          </w:tcPr>
          <w:p>
            <w:r>
              <w:rPr>
                <w:b/>
                <w:bCs/>
                <w:sz w:val="20"/>
                <w:szCs w:val="20"/>
              </w:rPr>
              <w:t xml:space="preserve">Examples</w:t>
            </w:r>
          </w:p>
        </w:tc>
        <w:tc>
          <w:tcPr>
            <w:tcW w:type="dxa" w:w="3000"/>
            <w:tcBorders>
              <w:top w:val="single" w:color="D9C3B5" w:sz="2"/>
              <w:left w:val="single" w:color="D9C3B5" w:sz="2"/>
              <w:bottom w:val="single" w:color="D9C3B5" w:sz="2"/>
              <w:right w:val="single" w:color="D9C3B5" w:sz="2"/>
            </w:tcBorders>
            <w:shd w:fill="FBEAE0" w:val="clear"/>
            <w:tcMar>
              <w:top w:type="dxa" w:w="80"/>
              <w:left w:type="dxa" w:w="120"/>
              <w:bottom w:type="dxa" w:w="80"/>
              <w:right w:type="dxa" w:w="120"/>
            </w:tcMar>
          </w:tcPr>
          <w:p>
            <w:r>
              <w:rPr>
                <w:b/>
                <w:bCs/>
                <w:sz w:val="20"/>
                <w:szCs w:val="20"/>
              </w:rPr>
              <w:t xml:space="preserve">Purpose</w:t>
            </w:r>
          </w:p>
        </w:tc>
      </w:tr>
      <w:tr>
        <w:tc>
          <w:tcPr>
            <w:tcW w:type="dxa" w:w="22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Identity data</w:t>
            </w:r>
          </w:p>
        </w:tc>
        <w:tc>
          <w:tcPr>
            <w:tcW w:type="dxa" w:w="416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Name, date of birth, PAN, Aadhaar number (or masked Aadhaar/VID), photograph</w:t>
            </w:r>
          </w:p>
        </w:tc>
        <w:tc>
          <w:tcPr>
            <w:tcW w:type="dxa" w:w="30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KYC verification, identity confirmation, regulatory compliance</w:t>
            </w:r>
          </w:p>
        </w:tc>
      </w:tr>
      <w:tr>
        <w:tc>
          <w:tcPr>
            <w:tcW w:type="dxa" w:w="22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Contact data</w:t>
            </w:r>
          </w:p>
        </w:tc>
        <w:tc>
          <w:tcPr>
            <w:tcW w:type="dxa" w:w="416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Mobile number, email address, residential address</w:t>
            </w:r>
          </w:p>
        </w:tc>
        <w:tc>
          <w:tcPr>
            <w:tcW w:type="dxa" w:w="30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Communication, application updates, KYC</w:t>
            </w:r>
          </w:p>
        </w:tc>
      </w:tr>
      <w:tr>
        <w:tc>
          <w:tcPr>
            <w:tcW w:type="dxa" w:w="22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Financial data</w:t>
            </w:r>
          </w:p>
        </w:tc>
        <w:tc>
          <w:tcPr>
            <w:tcW w:type="dxa" w:w="416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Income details, bank account/statements, salary slips, existing loan or credit card details, credit score/report</w:t>
            </w:r>
          </w:p>
        </w:tc>
        <w:tc>
          <w:tcPr>
            <w:tcW w:type="dxa" w:w="30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Credit assessment, underwriting, eligibility evaluation</w:t>
            </w:r>
          </w:p>
        </w:tc>
      </w:tr>
      <w:tr>
        <w:tc>
          <w:tcPr>
            <w:tcW w:type="dxa" w:w="22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Employment data</w:t>
            </w:r>
          </w:p>
        </w:tc>
        <w:tc>
          <w:tcPr>
            <w:tcW w:type="dxa" w:w="416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Employer name, designation, work address, employment type</w:t>
            </w:r>
          </w:p>
        </w:tc>
        <w:tc>
          <w:tcPr>
            <w:tcW w:type="dxa" w:w="30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Income verification, risk assessment</w:t>
            </w:r>
          </w:p>
        </w:tc>
      </w:tr>
      <w:tr>
        <w:tc>
          <w:tcPr>
            <w:tcW w:type="dxa" w:w="22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Technical data</w:t>
            </w:r>
          </w:p>
        </w:tc>
        <w:tc>
          <w:tcPr>
            <w:tcW w:type="dxa" w:w="416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IP address, device identifiers, browser type, cookies, usage logs</w:t>
            </w:r>
          </w:p>
        </w:tc>
        <w:tc>
          <w:tcPr>
            <w:tcW w:type="dxa" w:w="30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Website security, fraud prevention, analytics</w:t>
            </w:r>
          </w:p>
        </w:tc>
      </w:tr>
      <w:tr>
        <w:tc>
          <w:tcPr>
            <w:tcW w:type="dxa" w:w="22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Communication data</w:t>
            </w:r>
          </w:p>
        </w:tc>
        <w:tc>
          <w:tcPr>
            <w:tcW w:type="dxa" w:w="416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Call recordings, chat transcripts, support correspondence</w:t>
            </w:r>
          </w:p>
        </w:tc>
        <w:tc>
          <w:tcPr>
            <w:tcW w:type="dxa" w:w="3000"/>
            <w:tcBorders>
              <w:top w:val="single" w:color="D9C3B5" w:sz="2"/>
              <w:left w:val="single" w:color="D9C3B5" w:sz="2"/>
              <w:bottom w:val="single" w:color="D9C3B5" w:sz="2"/>
              <w:right w:val="single" w:color="D9C3B5" w:sz="2"/>
            </w:tcBorders>
            <w:tcMar>
              <w:top w:type="dxa" w:w="80"/>
              <w:left w:type="dxa" w:w="120"/>
              <w:bottom w:type="dxa" w:w="80"/>
              <w:right w:type="dxa" w:w="120"/>
            </w:tcMar>
          </w:tcPr>
          <w:p>
            <w:r>
              <w:rPr>
                <w:b w:val="false"/>
                <w:bCs w:val="false"/>
                <w:sz w:val="20"/>
                <w:szCs w:val="20"/>
              </w:rPr>
              <w:t xml:space="preserve">Service quality, dispute resolution, training</w:t>
            </w:r>
          </w:p>
        </w:tc>
      </w:tr>
    </w:tbl>
    <w:p>
      <w:pPr>
        <w:spacing w:before="200"/>
      </w:pPr>
    </w:p>
    <w:p>
      <w:pPr>
        <w:pStyle w:val="Heading1"/>
      </w:pPr>
      <w:r>
        <w:t xml:space="preserve">3. How We Collect Your Data</w:t>
      </w:r>
    </w:p>
    <w:p>
      <w:pPr>
        <w:pStyle w:val="ListParagraph"/>
        <w:numPr>
          <w:ilvl w:val="0"/>
          <w:numId w:val="2"/>
        </w:numPr>
        <w:spacing w:after="100" w:line="300"/>
      </w:pPr>
      <w:r>
        <w:t xml:space="preserve">Directly from you, when you fill out a loan application, enquiry form, or contact us.</w:t>
      </w:r>
    </w:p>
    <w:p>
      <w:pPr>
        <w:pStyle w:val="ListParagraph"/>
        <w:numPr>
          <w:ilvl w:val="0"/>
          <w:numId w:val="2"/>
        </w:numPr>
        <w:spacing w:after="100" w:line="300"/>
      </w:pPr>
      <w:r>
        <w:t xml:space="preserve">Automatically, through cookies, web beacons, and similar technologies when you browse our website.</w:t>
      </w:r>
    </w:p>
    <w:p>
      <w:pPr>
        <w:pStyle w:val="ListParagraph"/>
        <w:numPr>
          <w:ilvl w:val="0"/>
          <w:numId w:val="2"/>
        </w:numPr>
        <w:spacing w:after="100" w:line="300"/>
      </w:pPr>
      <w:r>
        <w:t xml:space="preserve">From third parties, such as credit information companies (e.g., CIBIL, Experian, Equifax, CRIF High Mark), KYC verification utilities, identity verification partners, and, where applicable, partner banks/NBFCs.</w:t>
      </w:r>
    </w:p>
    <w:p>
      <w:pPr>
        <w:pStyle w:val="ListParagraph"/>
        <w:numPr>
          <w:ilvl w:val="0"/>
          <w:numId w:val="2"/>
        </w:numPr>
        <w:spacing w:after="100" w:line="300"/>
      </w:pPr>
      <w:r>
        <w:t xml:space="preserve">From government-authorized systems, such as Aadhaar e-KYC (via UIDAI-authorized mechanisms) and Digilocker, strictly with your explicit consent for each instance of use, in compliance with the Aadhaar Act, 2016.</w:t>
      </w:r>
    </w:p>
    <w:p>
      <w:pPr>
        <w:pStyle w:val="Heading1"/>
      </w:pPr>
      <w:r>
        <w:t xml:space="preserve">4. Purpose and Legal Basis for Processing</w:t>
      </w:r>
    </w:p>
    <w:p>
      <w:pPr>
        <w:spacing w:after="160" w:line="300"/>
      </w:pPr>
      <w:r>
        <w:t xml:space="preserve">We process your personal data for the following purposes, relying on your consent and, where applicable, legitimate uses recognized under the DPDP Act:</w:t>
      </w:r>
    </w:p>
    <w:p>
      <w:pPr>
        <w:pStyle w:val="ListParagraph"/>
        <w:numPr>
          <w:ilvl w:val="0"/>
          <w:numId w:val="2"/>
        </w:numPr>
        <w:spacing w:after="100" w:line="300"/>
      </w:pPr>
      <w:r>
        <w:t xml:space="preserve">Verifying your identity and assessing your eligibility for a loan (KYC and underwriting).</w:t>
      </w:r>
    </w:p>
    <w:p>
      <w:pPr>
        <w:pStyle w:val="ListParagraph"/>
        <w:numPr>
          <w:ilvl w:val="0"/>
          <w:numId w:val="2"/>
        </w:numPr>
        <w:spacing w:after="100" w:line="300"/>
      </w:pPr>
      <w:r>
        <w:t xml:space="preserve">Evaluating your creditworthiness, including by accessing your credit report from credit information companies.</w:t>
      </w:r>
    </w:p>
    <w:p>
      <w:pPr>
        <w:pStyle w:val="ListParagraph"/>
        <w:numPr>
          <w:ilvl w:val="0"/>
          <w:numId w:val="2"/>
        </w:numPr>
        <w:spacing w:after="100" w:line="300"/>
      </w:pPr>
      <w:r>
        <w:t xml:space="preserve">Processing, sanctioning, disbursing, and servicing your loan, including communicating updates.</w:t>
      </w:r>
    </w:p>
    <w:p>
      <w:pPr>
        <w:pStyle w:val="ListParagraph"/>
        <w:numPr>
          <w:ilvl w:val="0"/>
          <w:numId w:val="2"/>
        </w:numPr>
        <w:spacing w:after="100" w:line="300"/>
      </w:pPr>
      <w:r>
        <w:t xml:space="preserve">Complying with legal and regulatory obligations under RBI guidelines, the Prevention of Money Laundering Act, 2002, and other applicable law.</w:t>
      </w:r>
    </w:p>
    <w:p>
      <w:pPr>
        <w:pStyle w:val="ListParagraph"/>
        <w:numPr>
          <w:ilvl w:val="0"/>
          <w:numId w:val="2"/>
        </w:numPr>
        <w:spacing w:after="100" w:line="300"/>
      </w:pPr>
      <w:r>
        <w:t xml:space="preserve">Detecting, investigating, and preventing fraud, money laundering, or other illegal activity.</w:t>
      </w:r>
    </w:p>
    <w:p>
      <w:pPr>
        <w:pStyle w:val="ListParagraph"/>
        <w:numPr>
          <w:ilvl w:val="0"/>
          <w:numId w:val="2"/>
        </w:numPr>
        <w:spacing w:after="100" w:line="300"/>
      </w:pPr>
      <w:r>
        <w:t xml:space="preserve">Improving our website, services, and customer experience through analytics.</w:t>
      </w:r>
    </w:p>
    <w:p>
      <w:pPr>
        <w:pStyle w:val="ListParagraph"/>
        <w:numPr>
          <w:ilvl w:val="0"/>
          <w:numId w:val="2"/>
        </w:numPr>
        <w:spacing w:after="100" w:line="300"/>
      </w:pPr>
      <w:r>
        <w:t xml:space="preserve">Recovering dues in the event of default, in accordance with our Fair Practices Code.</w:t>
      </w:r>
    </w:p>
    <w:p>
      <w:pPr>
        <w:pStyle w:val="Heading1"/>
      </w:pPr>
      <w:r>
        <w:t xml:space="preserve">5. Aadhaar and Sensitive Identity Data</w:t>
      </w:r>
    </w:p>
    <w:p>
      <w:pPr>
        <w:spacing w:after="160" w:line="300"/>
      </w:pPr>
      <w:r>
        <w:t xml:space="preserve">Where we collect your Aadhaar number or Aadhaar-based e-KYC details, we do so only with your explicit, informed consent, captured separately from other consents, and strictly for the purpose of identity verification as permitted under the Aadhaar Act, 2016 and UIDAI regulations. We do not store your full Aadhaar number in plain, unmasked form beyond what is necessary, and we do not use Aadhaar data for any purpose other than the one disclosed to you at the time of collection. You may use alternate KYC documents (such as PAN, passport, voter ID, or driving licence) if you do not wish to share your Aadhaar number, subject to acceptance by us or our Lending Partners.</w:t>
      </w:r>
    </w:p>
    <w:p>
      <w:pPr>
        <w:pStyle w:val="Heading1"/>
      </w:pPr>
      <w:r>
        <w:t xml:space="preserve">6. Sharing and Disclosure of Your Data</w:t>
      </w:r>
    </w:p>
    <w:p>
      <w:pPr>
        <w:spacing w:after="160" w:line="300"/>
      </w:pPr>
      <w:r>
        <w:t xml:space="preserve">We may share your personal data with:</w:t>
      </w:r>
    </w:p>
    <w:p>
      <w:pPr>
        <w:pStyle w:val="ListParagraph"/>
        <w:numPr>
          <w:ilvl w:val="0"/>
          <w:numId w:val="2"/>
        </w:numPr>
        <w:spacing w:after="100" w:line="300"/>
      </w:pPr>
      <w:r>
        <w:t xml:space="preserve">Partner banks, NBFCs, or other Lending Partners, solely for the purpose of processing your loan application.</w:t>
      </w:r>
    </w:p>
    <w:p>
      <w:pPr>
        <w:pStyle w:val="ListParagraph"/>
        <w:numPr>
          <w:ilvl w:val="0"/>
          <w:numId w:val="2"/>
        </w:numPr>
        <w:spacing w:after="100" w:line="300"/>
      </w:pPr>
      <w:r>
        <w:t xml:space="preserve">Credit information companies, for credit assessment and reporting of loan performance, as mandated under the Credit Information Companies (Regulation) Act, 2005.</w:t>
      </w:r>
    </w:p>
    <w:p>
      <w:pPr>
        <w:pStyle w:val="ListParagraph"/>
        <w:numPr>
          <w:ilvl w:val="0"/>
          <w:numId w:val="2"/>
        </w:numPr>
        <w:spacing w:after="100" w:line="300"/>
      </w:pPr>
      <w:r>
        <w:t xml:space="preserve">KYC verification agencies, payment gateways, and IT service providers who process data on our behalf under contractual confidentiality obligations.</w:t>
      </w:r>
    </w:p>
    <w:p>
      <w:pPr>
        <w:pStyle w:val="ListParagraph"/>
        <w:numPr>
          <w:ilvl w:val="0"/>
          <w:numId w:val="2"/>
        </w:numPr>
        <w:spacing w:after="100" w:line="300"/>
      </w:pPr>
      <w:r>
        <w:t xml:space="preserve">Regulators and law enforcement authorities, including the Reserve Bank of India, where required by law, court order, or regulatory direction.</w:t>
      </w:r>
    </w:p>
    <w:p>
      <w:pPr>
        <w:pStyle w:val="ListParagraph"/>
        <w:numPr>
          <w:ilvl w:val="0"/>
          <w:numId w:val="2"/>
        </w:numPr>
        <w:spacing w:after="100" w:line="300"/>
      </w:pPr>
      <w:r>
        <w:t xml:space="preserve">Recovery agents, in the event of default, who are required to follow our Fair Practices Code and applicable RBI guidelines on recovery conduct.</w:t>
      </w:r>
    </w:p>
    <w:p>
      <w:pPr>
        <w:spacing w:after="160" w:line="300"/>
      </w:pPr>
      <w:r>
        <w:t xml:space="preserve">We do not sell your personal data to third parties for marketing purposes.</w:t>
      </w:r>
    </w:p>
    <w:p>
      <w:pPr>
        <w:pStyle w:val="Heading1"/>
      </w:pPr>
      <w:r>
        <w:t xml:space="preserve">7. Data Storage and Security</w:t>
      </w:r>
    </w:p>
    <w:p>
      <w:pPr>
        <w:spacing w:after="160" w:line="300"/>
      </w:pPr>
      <w:r>
        <w:t xml:space="preserve">We implement reasonable technical and organizational security measures, including encryption, access controls, and secure servers, to protect your personal data against unauthorized access, alteration, disclosure, or destruction. Your data is primarily stored on servers located in [Insert Server Location, e.g., India], and we take reasonable steps to ensure any cross-border processing (such as cloud infrastructure) complies with applicable DPDP Act requirements.</w:t>
      </w:r>
    </w:p>
    <w:p>
      <w:pPr>
        <w:spacing w:after="160" w:line="300"/>
      </w:pPr>
      <w:r>
        <w:t xml:space="preserve">Despite these measures, no method of electronic transmission or storage is completely secure, and we cannot guarantee absolute security.</w:t>
      </w:r>
    </w:p>
    <w:p>
      <w:pPr>
        <w:pStyle w:val="Heading1"/>
      </w:pPr>
      <w:r>
        <w:t xml:space="preserve">8. Data Retention</w:t>
      </w:r>
    </w:p>
    <w:p>
      <w:pPr>
        <w:spacing w:after="160" w:line="300"/>
      </w:pPr>
      <w:r>
        <w:t xml:space="preserve">We retain your personal data for as long as necessary to fulfil the purposes outlined in this Policy, including the duration of your loan tenure, and thereafter for such period as required to comply with RBI record-keeping norms, statutory limitation periods, and other applicable legal or regulatory requirements (generally up to [Insert Retention Period, e.g., 8 years] from the closure of your account, unless a longer period is mandated by law). Where retention is no longer required, we will securely delete or anonymize your data.</w:t>
      </w:r>
    </w:p>
    <w:p>
      <w:pPr>
        <w:pStyle w:val="Heading1"/>
      </w:pPr>
      <w:r>
        <w:t xml:space="preserve">9. Cookies and Tracking Technologies</w:t>
      </w:r>
    </w:p>
    <w:p>
      <w:pPr>
        <w:spacing w:after="160" w:line="300"/>
      </w:pPr>
      <w:r>
        <w:t xml:space="preserve">Our website uses cookies and similar technologies to operate effectively, remember your preferences, and gather analytics on website usage. You can control or disable cookies through your browser settings; however, doing so may affect the functionality of certain features, including the loan application form.</w:t>
      </w:r>
    </w:p>
    <w:p>
      <w:pPr>
        <w:pStyle w:val="Heading1"/>
      </w:pPr>
      <w:r>
        <w:t xml:space="preserve">10. Your Rights as a Data Principal</w:t>
      </w:r>
    </w:p>
    <w:p>
      <w:pPr>
        <w:spacing w:after="160" w:line="300"/>
      </w:pPr>
      <w:r>
        <w:t xml:space="preserve">Under the DPDP Act, 2023, you have the right to:</w:t>
      </w:r>
    </w:p>
    <w:p>
      <w:pPr>
        <w:pStyle w:val="ListParagraph"/>
        <w:numPr>
          <w:ilvl w:val="0"/>
          <w:numId w:val="2"/>
        </w:numPr>
        <w:spacing w:after="100" w:line="300"/>
      </w:pPr>
      <w:r>
        <w:t xml:space="preserve">Access a summary of the personal data we hold about you and the processing activities undertaken.</w:t>
      </w:r>
    </w:p>
    <w:p>
      <w:pPr>
        <w:pStyle w:val="ListParagraph"/>
        <w:numPr>
          <w:ilvl w:val="0"/>
          <w:numId w:val="2"/>
        </w:numPr>
        <w:spacing w:after="100" w:line="300"/>
      </w:pPr>
      <w:r>
        <w:t xml:space="preserve">Request correction, completion, or updating of your personal data.</w:t>
      </w:r>
    </w:p>
    <w:p>
      <w:pPr>
        <w:pStyle w:val="ListParagraph"/>
        <w:numPr>
          <w:ilvl w:val="0"/>
          <w:numId w:val="2"/>
        </w:numPr>
        <w:spacing w:after="100" w:line="300"/>
      </w:pPr>
      <w:r>
        <w:t xml:space="preserve">Request erasure of your personal data, subject to our legal and regulatory retention obligations (such as RBI record-keeping norms).</w:t>
      </w:r>
    </w:p>
    <w:p>
      <w:pPr>
        <w:pStyle w:val="ListParagraph"/>
        <w:numPr>
          <w:ilvl w:val="0"/>
          <w:numId w:val="2"/>
        </w:numPr>
        <w:spacing w:after="100" w:line="300"/>
      </w:pPr>
      <w:r>
        <w:t xml:space="preserve">Withdraw your consent at any time, though this may affect our ability to process your loan application or continue servicing an existing loan.</w:t>
      </w:r>
    </w:p>
    <w:p>
      <w:pPr>
        <w:pStyle w:val="ListParagraph"/>
        <w:numPr>
          <w:ilvl w:val="0"/>
          <w:numId w:val="2"/>
        </w:numPr>
        <w:spacing w:after="100" w:line="300"/>
      </w:pPr>
      <w:r>
        <w:t xml:space="preserve">Nominate another individual to exercise these rights on your behalf in the event of your death or incapacity.</w:t>
      </w:r>
    </w:p>
    <w:p>
      <w:pPr>
        <w:pStyle w:val="ListParagraph"/>
        <w:numPr>
          <w:ilvl w:val="0"/>
          <w:numId w:val="2"/>
        </w:numPr>
        <w:spacing w:after="100" w:line="300"/>
      </w:pPr>
      <w:r>
        <w:t xml:space="preserve">Register a grievance regarding the processing of your personal data.</w:t>
      </w:r>
    </w:p>
    <w:p>
      <w:pPr>
        <w:spacing w:after="160" w:line="300"/>
      </w:pPr>
      <w:r>
        <w:t xml:space="preserve">To exercise any of these rights, please contact our Grievance Officer using the details in Section 13.</w:t>
      </w:r>
    </w:p>
    <w:p>
      <w:pPr>
        <w:pStyle w:val="Heading1"/>
      </w:pPr>
      <w:r>
        <w:t xml:space="preserve">11. Children's Privacy</w:t>
      </w:r>
    </w:p>
    <w:p>
      <w:pPr>
        <w:spacing w:after="160" w:line="300"/>
      </w:pPr>
      <w:r>
        <w:t xml:space="preserve">Our services are not directed at individuals under 18 years of age, and we do not knowingly collect personal data from minors. If we become aware that we have inadvertently collected data from a minor, we will take steps to delete such data promptly.</w:t>
      </w:r>
    </w:p>
    <w:p>
      <w:pPr>
        <w:pStyle w:val="Heading1"/>
      </w:pPr>
      <w:r>
        <w:t xml:space="preserve">12. Third-Party Links</w:t>
      </w:r>
    </w:p>
    <w:p>
      <w:pPr>
        <w:spacing w:after="160" w:line="300"/>
      </w:pPr>
      <w:r>
        <w:t xml:space="preserve">Our website may contain links to third-party websites, including those of Lending Partners or payment processors. This Privacy Policy does not apply to those third-party sites, and we encourage you to review their respective privacy policies before sharing any personal data.</w:t>
      </w:r>
    </w:p>
    <w:p>
      <w:pPr>
        <w:pStyle w:val="Heading1"/>
      </w:pPr>
      <w:r>
        <w:t xml:space="preserve">13. Grievance Officer / Data Protection Contact</w:t>
      </w:r>
    </w:p>
    <w:p>
      <w:pPr>
        <w:spacing w:after="160" w:line="300"/>
      </w:pPr>
      <w:r>
        <w:t xml:space="preserve">In accordance with the DPDP Act, 2023, we have designated a Grievance Officer to address your queries and complaints regarding the processing of your personal data:</w:t>
      </w:r>
    </w:p>
    <w:p>
      <w:pPr>
        <w:pStyle w:val="ListParagraph"/>
        <w:numPr>
          <w:ilvl w:val="0"/>
          <w:numId w:val="2"/>
        </w:numPr>
        <w:spacing w:after="100" w:line="300"/>
      </w:pPr>
      <w:r>
        <w:t xml:space="preserve">Name: [Insert Grievance Officer Name]</w:t>
      </w:r>
    </w:p>
    <w:p>
      <w:pPr>
        <w:pStyle w:val="ListParagraph"/>
        <w:numPr>
          <w:ilvl w:val="0"/>
          <w:numId w:val="2"/>
        </w:numPr>
        <w:spacing w:after="100" w:line="300"/>
      </w:pPr>
      <w:r>
        <w:t xml:space="preserve">Designation: [Insert Designation]</w:t>
      </w:r>
    </w:p>
    <w:p>
      <w:pPr>
        <w:pStyle w:val="ListParagraph"/>
        <w:numPr>
          <w:ilvl w:val="0"/>
          <w:numId w:val="2"/>
        </w:numPr>
        <w:spacing w:after="100" w:line="300"/>
      </w:pPr>
      <w:r>
        <w:t xml:space="preserve">Email: [Insert Grievance Email]</w:t>
      </w:r>
    </w:p>
    <w:p>
      <w:pPr>
        <w:pStyle w:val="ListParagraph"/>
        <w:numPr>
          <w:ilvl w:val="0"/>
          <w:numId w:val="2"/>
        </w:numPr>
        <w:spacing w:after="100" w:line="300"/>
      </w:pPr>
      <w:r>
        <w:t xml:space="preserve">Phone: [Insert Phone Number]</w:t>
      </w:r>
    </w:p>
    <w:p>
      <w:pPr>
        <w:pStyle w:val="ListParagraph"/>
        <w:numPr>
          <w:ilvl w:val="0"/>
          <w:numId w:val="2"/>
        </w:numPr>
        <w:spacing w:after="100" w:line="300"/>
      </w:pPr>
      <w:r>
        <w:t xml:space="preserve">Address: [Insert Registered Address]</w:t>
      </w:r>
    </w:p>
    <w:p>
      <w:pPr>
        <w:spacing w:after="160" w:line="300"/>
      </w:pPr>
      <w:r>
        <w:t xml:space="preserve">We will acknowledge your grievance and aim to resolve it within the timelines prescribed under the DPDP Act and applicable rules. If you remain dissatisfied with our response, you may approach the Data Protection Board of India or other competent authority.</w:t>
      </w:r>
    </w:p>
    <w:p>
      <w:pPr>
        <w:pStyle w:val="Heading1"/>
      </w:pPr>
      <w:r>
        <w:t xml:space="preserve">14. Changes to This Policy</w:t>
      </w:r>
    </w:p>
    <w:p>
      <w:pPr>
        <w:spacing w:after="160" w:line="300"/>
      </w:pPr>
      <w:r>
        <w:t xml:space="preserve">We may update this Privacy Policy periodically to reflect changes in our practices, technology, or legal requirements. The updated version will be posted on this page with a revised “Last updated” date. We encourage you to review this Policy periodically.</w:t>
      </w:r>
    </w:p>
    <w:p>
      <w:pPr>
        <w:pStyle w:val="Heading1"/>
      </w:pPr>
      <w:r>
        <w:t xml:space="preserve">15. Governing Law</w:t>
      </w:r>
    </w:p>
    <w:p>
      <w:pPr>
        <w:spacing w:after="160" w:line="300"/>
      </w:pPr>
      <w:r>
        <w:t xml:space="preserve">This Privacy Policy is governed by the laws of India, including the Digital Personal Data Protection Act, 2023, the Information Technology Act, 2000, and rules made thereunder.</w:t>
      </w:r>
    </w:p>
    <w:p>
      <w:pPr>
        <w:pStyle w:val="Heading1"/>
      </w:pPr>
      <w:r>
        <w:t xml:space="preserve">16. Contact Us</w:t>
      </w:r>
    </w:p>
    <w:p>
      <w:pPr>
        <w:spacing w:after="160" w:line="300"/>
      </w:pPr>
      <w:r>
        <w:t xml:space="preserve">For any questions about this Privacy Policy or our data practices, please contact us at:</w:t>
      </w:r>
    </w:p>
    <w:p>
      <w:pPr>
        <w:pStyle w:val="ListParagraph"/>
        <w:numPr>
          <w:ilvl w:val="0"/>
          <w:numId w:val="2"/>
        </w:numPr>
        <w:spacing w:after="100" w:line="300"/>
      </w:pPr>
      <w:r>
        <w:t xml:space="preserve">Gokul Finance Service</w:t>
      </w:r>
    </w:p>
    <w:p>
      <w:pPr>
        <w:pStyle w:val="ListParagraph"/>
        <w:numPr>
          <w:ilvl w:val="0"/>
          <w:numId w:val="2"/>
        </w:numPr>
        <w:spacing w:after="100" w:line="300"/>
      </w:pPr>
      <w:r>
        <w:t xml:space="preserve">Email: [Insert Contact Email]</w:t>
      </w:r>
    </w:p>
    <w:p>
      <w:pPr>
        <w:pStyle w:val="ListParagraph"/>
        <w:numPr>
          <w:ilvl w:val="0"/>
          <w:numId w:val="2"/>
        </w:numPr>
        <w:spacing w:after="100" w:line="300"/>
      </w:pPr>
      <w:r>
        <w:t xml:space="preserve">Phone: [Insert Contact Number]</w:t>
      </w:r>
    </w:p>
    <w:p>
      <w:pPr>
        <w:pStyle w:val="ListParagraph"/>
        <w:numPr>
          <w:ilvl w:val="0"/>
          <w:numId w:val="2"/>
        </w:numPr>
        <w:spacing w:after="100" w:line="300"/>
      </w:pPr>
      <w:r>
        <w:t xml:space="preserve">Address: [Insert Registered Address]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C2541A"/>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2026-06-16T15:53:00.753Z</dcterms:created>
  <dcterms:modified xsi:type="dcterms:W3CDTF">2026-06-16T15:53:00.754Z</dcterms:modified>
</cp:coreProperties>
</file>

<file path=docProps/custom.xml><?xml version="1.0" encoding="utf-8"?>
<Properties xmlns="http://schemas.openxmlformats.org/officeDocument/2006/custom-properties" xmlns:vt="http://schemas.openxmlformats.org/officeDocument/2006/docPropsVTypes"/>
</file>