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C2D05" w:rsidR="4B0E0084" w:rsidP="50A9D464" w:rsidRDefault="00926B34" w14:paraId="5E840E73" w14:textId="5223E456">
      <w:pPr>
        <w:shd w:val="clear" w:color="auto" w:fill="FFFFFF" w:themeFill="background1"/>
        <w:spacing w:before="120" w:after="120"/>
        <w:rPr>
          <w:rFonts w:ascii="Arial" w:hAnsi="Arial" w:eastAsia="Arial" w:cs="Arial"/>
          <w:sz w:val="44"/>
          <w:szCs w:val="44"/>
        </w:rPr>
      </w:pPr>
      <w:r w:rsidRPr="22651533">
        <w:rPr>
          <w:rFonts w:ascii="Arial" w:hAnsi="Arial" w:eastAsia="Arial" w:cs="Arial"/>
          <w:sz w:val="44"/>
          <w:szCs w:val="44"/>
        </w:rPr>
        <w:t>FGT501</w:t>
      </w:r>
      <w:r w:rsidRPr="22651533" w:rsidR="1050D24E">
        <w:rPr>
          <w:rFonts w:ascii="Arial" w:hAnsi="Arial" w:eastAsia="Arial" w:cs="Arial"/>
          <w:sz w:val="44"/>
          <w:szCs w:val="44"/>
        </w:rPr>
        <w:t>6</w:t>
      </w:r>
      <w:r w:rsidRPr="22651533" w:rsidR="00334BE4">
        <w:rPr>
          <w:rFonts w:ascii="Arial" w:hAnsi="Arial" w:eastAsia="Arial" w:cs="Arial"/>
          <w:sz w:val="44"/>
          <w:szCs w:val="44"/>
        </w:rPr>
        <w:t xml:space="preserve"> </w:t>
      </w:r>
      <w:r w:rsidRPr="22651533">
        <w:rPr>
          <w:rFonts w:ascii="Arial" w:hAnsi="Arial" w:eastAsia="Arial" w:cs="Arial"/>
          <w:sz w:val="44"/>
          <w:szCs w:val="44"/>
        </w:rPr>
        <w:t>Abuse of Inter-operator Interfaces</w:t>
      </w:r>
      <w:r w:rsidRPr="22651533" w:rsidR="4B0E0084">
        <w:rPr>
          <w:rFonts w:ascii="Arial" w:hAnsi="Arial" w:eastAsia="Arial" w:cs="Arial"/>
          <w:sz w:val="44"/>
          <w:szCs w:val="44"/>
        </w:rPr>
        <w:t xml:space="preserve"> </w:t>
      </w:r>
    </w:p>
    <w:p w:rsidRPr="00D96D90" w:rsidR="00C94CDD" w:rsidP="00F550E4" w:rsidRDefault="00E410E7" w14:paraId="3F1D18FD" w14:textId="77777777">
      <w:pPr>
        <w:rPr>
          <w:rFonts w:ascii="Arial" w:hAnsi="Arial" w:cs="Arial"/>
          <w:lang w:val="en"/>
        </w:rPr>
      </w:pPr>
      <w:r w:rsidRPr="00D96D90">
        <w:rPr>
          <w:rFonts w:ascii="Arial" w:hAnsi="Arial" w:cs="Arial"/>
        </w:rPr>
        <w:t xml:space="preserve">Description: </w:t>
      </w:r>
      <w:r w:rsidRPr="00D96D90" w:rsidR="00F550E4">
        <w:rPr>
          <w:rFonts w:ascii="Arial" w:hAnsi="Arial" w:cs="Arial"/>
          <w:lang w:val="en"/>
        </w:rPr>
        <w:t xml:space="preserve">An adversary exploits </w:t>
      </w:r>
      <w:r w:rsidRPr="00D96D90" w:rsidR="00044FE6">
        <w:rPr>
          <w:rFonts w:ascii="Arial" w:hAnsi="Arial" w:cs="Arial"/>
          <w:lang w:val="en"/>
        </w:rPr>
        <w:t>interconnection</w:t>
      </w:r>
      <w:r w:rsidRPr="00D96D90" w:rsidR="00EE38CA">
        <w:rPr>
          <w:rFonts w:ascii="Arial" w:hAnsi="Arial" w:cs="Arial"/>
          <w:lang w:val="en"/>
        </w:rPr>
        <w:t>/interworking</w:t>
      </w:r>
      <w:r w:rsidRPr="00D96D90" w:rsidR="00F550E4">
        <w:rPr>
          <w:rFonts w:ascii="Arial" w:hAnsi="Arial" w:cs="Arial"/>
          <w:lang w:val="en"/>
        </w:rPr>
        <w:t xml:space="preserve"> between MNOs to obtain information about roaming user sessions</w:t>
      </w:r>
      <w:r w:rsidRPr="00D96D90" w:rsidR="00B92B14">
        <w:rPr>
          <w:rFonts w:ascii="Arial" w:hAnsi="Arial" w:cs="Arial"/>
          <w:lang w:val="en"/>
        </w:rPr>
        <w:t xml:space="preserve"> </w:t>
      </w:r>
      <w:r w:rsidRPr="00D96D90" w:rsidR="0069706D">
        <w:rPr>
          <w:rFonts w:ascii="Arial" w:hAnsi="Arial" w:cs="Arial"/>
          <w:lang w:val="en"/>
        </w:rPr>
        <w:t>or commit fraud</w:t>
      </w:r>
      <w:r w:rsidRPr="00D96D90" w:rsidR="00F550E4">
        <w:rPr>
          <w:rFonts w:ascii="Arial" w:hAnsi="Arial" w:cs="Arial"/>
          <w:lang w:val="en"/>
        </w:rPr>
        <w:t xml:space="preserve">. </w:t>
      </w:r>
    </w:p>
    <w:p w:rsidRPr="00D96D90" w:rsidR="00C94CDD" w:rsidP="00F550E4" w:rsidRDefault="00C94CDD" w14:paraId="48073F3E" w14:textId="77777777">
      <w:pPr>
        <w:rPr>
          <w:rFonts w:ascii="Arial" w:hAnsi="Arial" w:cs="Arial"/>
          <w:lang w:val="en"/>
        </w:rPr>
      </w:pPr>
    </w:p>
    <w:p w:rsidRPr="00D96D90" w:rsidR="00C11BA2" w:rsidP="00F550E4" w:rsidRDefault="00135644" w14:paraId="7E71BA02" w14:textId="382D8692">
      <w:pPr>
        <w:rPr>
          <w:rFonts w:ascii="Arial" w:hAnsi="Arial" w:cs="Arial"/>
          <w:lang w:val="en"/>
        </w:rPr>
      </w:pPr>
      <w:r w:rsidRPr="257DA6EC" w:rsidR="00135644">
        <w:rPr>
          <w:rFonts w:ascii="Arial" w:hAnsi="Arial" w:cs="Arial"/>
          <w:lang w:val="en"/>
        </w:rPr>
        <w:t>The adversary with a position on a trusted partners</w:t>
      </w:r>
      <w:r w:rsidRPr="257DA6EC" w:rsidR="001A1E6E">
        <w:rPr>
          <w:rFonts w:ascii="Arial" w:hAnsi="Arial" w:cs="Arial"/>
          <w:lang w:val="en"/>
        </w:rPr>
        <w:t xml:space="preserve"> environment</w:t>
      </w:r>
      <w:r w:rsidRPr="257DA6EC" w:rsidR="00135644">
        <w:rPr>
          <w:rFonts w:ascii="Arial" w:hAnsi="Arial" w:cs="Arial"/>
          <w:lang w:val="en"/>
        </w:rPr>
        <w:t xml:space="preserve">, see </w:t>
      </w:r>
      <w:r w:rsidRPr="257DA6EC" w:rsidR="00196843">
        <w:rPr>
          <w:rFonts w:ascii="Arial" w:hAnsi="Arial" w:cs="Arial"/>
          <w:lang w:val="en"/>
        </w:rPr>
        <w:t>[</w:t>
      </w:r>
      <w:r w:rsidRPr="257DA6EC" w:rsidR="008E3966">
        <w:rPr>
          <w:rFonts w:ascii="Arial" w:hAnsi="Arial" w:cs="Arial"/>
          <w:lang w:val="en"/>
        </w:rPr>
        <w:t>FG</w:t>
      </w:r>
      <w:r w:rsidRPr="257DA6EC" w:rsidR="007E4C16">
        <w:rPr>
          <w:rFonts w:ascii="Arial" w:hAnsi="Arial" w:cs="Arial"/>
          <w:lang w:val="en"/>
        </w:rPr>
        <w:t>T1199.501</w:t>
      </w:r>
      <w:r w:rsidRPr="257DA6EC" w:rsidR="00196843">
        <w:rPr>
          <w:rFonts w:ascii="Arial" w:hAnsi="Arial" w:cs="Arial"/>
          <w:lang w:val="en"/>
        </w:rPr>
        <w:t>](</w:t>
      </w:r>
      <w:r w:rsidRPr="257DA6EC" w:rsidR="00566101">
        <w:rPr>
          <w:rFonts w:ascii="Arial" w:hAnsi="Arial" w:cs="Arial"/>
          <w:lang w:val="en"/>
        </w:rPr>
        <w:t>/techniques/</w:t>
      </w:r>
      <w:r w:rsidRPr="257DA6EC" w:rsidR="00704D93">
        <w:rPr>
          <w:rFonts w:ascii="Arial" w:hAnsi="Arial" w:cs="Arial"/>
          <w:lang w:val="en"/>
        </w:rPr>
        <w:t>FG</w:t>
      </w:r>
      <w:r w:rsidRPr="257DA6EC" w:rsidR="00566101">
        <w:rPr>
          <w:rFonts w:ascii="Arial" w:hAnsi="Arial" w:cs="Arial"/>
          <w:lang w:val="en"/>
        </w:rPr>
        <w:t>T1199.501),</w:t>
      </w:r>
      <w:r w:rsidRPr="257DA6EC" w:rsidR="007E4C16">
        <w:rPr>
          <w:rFonts w:ascii="Arial" w:hAnsi="Arial" w:cs="Arial"/>
          <w:lang w:val="en"/>
        </w:rPr>
        <w:t xml:space="preserve"> </w:t>
      </w:r>
      <w:r w:rsidRPr="257DA6EC" w:rsidR="001A1E6E">
        <w:rPr>
          <w:rFonts w:ascii="Arial" w:hAnsi="Arial" w:cs="Arial"/>
          <w:lang w:val="en"/>
        </w:rPr>
        <w:t xml:space="preserve">is in a position to </w:t>
      </w:r>
      <w:r w:rsidRPr="257DA6EC" w:rsidR="00346E3F">
        <w:rPr>
          <w:rFonts w:ascii="Arial" w:hAnsi="Arial" w:cs="Arial"/>
          <w:lang w:val="en"/>
        </w:rPr>
        <w:t xml:space="preserve">send legitimate looking messages to a </w:t>
      </w:r>
      <w:commentRangeStart w:id="0"/>
      <w:commentRangeStart w:id="1"/>
      <w:commentRangeStart w:id="2"/>
      <w:commentRangeStart w:id="3"/>
      <w:r w:rsidRPr="257DA6EC" w:rsidR="00EB367D">
        <w:rPr>
          <w:rFonts w:ascii="Arial" w:hAnsi="Arial" w:cs="Arial"/>
          <w:lang w:val="en"/>
        </w:rPr>
        <w:t xml:space="preserve">PLMN </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r w:rsidRPr="257DA6EC" w:rsidR="00EB367D">
        <w:rPr>
          <w:rFonts w:ascii="Arial" w:hAnsi="Arial" w:cs="Arial"/>
          <w:lang w:val="en"/>
        </w:rPr>
        <w:t xml:space="preserve">interfaces and network functions and modify, in some circumstances, </w:t>
      </w:r>
      <w:r w:rsidRPr="257DA6EC" w:rsidR="008457AE">
        <w:rPr>
          <w:rFonts w:ascii="Arial" w:hAnsi="Arial" w:cs="Arial"/>
          <w:lang w:val="en"/>
        </w:rPr>
        <w:t>legitimate messages</w:t>
      </w:r>
      <w:r w:rsidRPr="257DA6EC" w:rsidR="00EB367D">
        <w:rPr>
          <w:rFonts w:ascii="Arial" w:hAnsi="Arial" w:cs="Arial"/>
          <w:lang w:val="en"/>
        </w:rPr>
        <w:t>. Through these message</w:t>
      </w:r>
      <w:r w:rsidRPr="257DA6EC" w:rsidR="00CF020F">
        <w:rPr>
          <w:rFonts w:ascii="Arial" w:hAnsi="Arial" w:cs="Arial"/>
          <w:lang w:val="en"/>
        </w:rPr>
        <w:t>s</w:t>
      </w:r>
      <w:r w:rsidRPr="257DA6EC" w:rsidR="008457AE">
        <w:rPr>
          <w:rFonts w:ascii="Arial" w:hAnsi="Arial" w:cs="Arial"/>
          <w:lang w:val="en"/>
        </w:rPr>
        <w:t xml:space="preserve">, the adversary may obtain </w:t>
      </w:r>
      <w:r w:rsidRPr="257DA6EC" w:rsidR="00C50513">
        <w:rPr>
          <w:rFonts w:ascii="Arial" w:hAnsi="Arial" w:cs="Arial"/>
          <w:highlight w:val="yellow"/>
          <w:lang w:val="en"/>
        </w:rPr>
        <w:t>sensitive</w:t>
      </w:r>
      <w:r w:rsidRPr="257DA6EC" w:rsidR="00C50513">
        <w:rPr>
          <w:rFonts w:ascii="Arial" w:hAnsi="Arial" w:cs="Arial"/>
          <w:lang w:val="en"/>
        </w:rPr>
        <w:t xml:space="preserve"> </w:t>
      </w:r>
      <w:r w:rsidRPr="257DA6EC" w:rsidR="008457AE">
        <w:rPr>
          <w:rFonts w:ascii="Arial" w:hAnsi="Arial" w:cs="Arial"/>
          <w:lang w:val="en"/>
        </w:rPr>
        <w:t>information about</w:t>
      </w:r>
      <w:r w:rsidRPr="257DA6EC" w:rsidR="0013105B">
        <w:rPr>
          <w:rFonts w:ascii="Arial" w:hAnsi="Arial" w:cs="Arial"/>
          <w:lang w:val="en"/>
        </w:rPr>
        <w:t xml:space="preserve"> the</w:t>
      </w:r>
      <w:r w:rsidRPr="257DA6EC" w:rsidR="008457AE">
        <w:rPr>
          <w:rFonts w:ascii="Arial" w:hAnsi="Arial" w:cs="Arial"/>
          <w:lang w:val="en"/>
        </w:rPr>
        <w:t xml:space="preserve"> PLMN’s</w:t>
      </w:r>
      <w:r w:rsidRPr="257DA6EC" w:rsidR="00BE5721">
        <w:rPr>
          <w:rFonts w:ascii="Arial" w:hAnsi="Arial" w:cs="Arial"/>
          <w:lang w:val="en"/>
        </w:rPr>
        <w:t xml:space="preserve"> </w:t>
      </w:r>
      <w:r w:rsidRPr="257DA6EC" w:rsidR="00953ED8">
        <w:rPr>
          <w:rFonts w:ascii="Arial" w:hAnsi="Arial" w:cs="Arial"/>
          <w:lang w:val="en"/>
        </w:rPr>
        <w:t>subscribers.</w:t>
      </w:r>
      <w:r w:rsidRPr="257DA6EC" w:rsidR="00BE5721">
        <w:rPr>
          <w:rFonts w:ascii="Arial" w:hAnsi="Arial" w:cs="Arial"/>
          <w:lang w:val="en"/>
        </w:rPr>
        <w:t xml:space="preserve"> With the ability to send messages seen by the </w:t>
      </w:r>
      <w:commentRangeStart w:id="4"/>
      <w:r w:rsidRPr="257DA6EC" w:rsidR="00BE5721">
        <w:rPr>
          <w:rFonts w:ascii="Arial" w:hAnsi="Arial" w:cs="Arial"/>
          <w:lang w:val="en"/>
        </w:rPr>
        <w:t xml:space="preserve">PLMN </w:t>
      </w:r>
      <w:commentRangeEnd w:id="4"/>
      <w:r>
        <w:rPr>
          <w:rStyle w:val="CommentReference"/>
        </w:rPr>
        <w:commentReference w:id="4"/>
      </w:r>
      <w:r w:rsidRPr="257DA6EC" w:rsidR="00BE5721">
        <w:rPr>
          <w:rFonts w:ascii="Arial" w:hAnsi="Arial" w:cs="Arial"/>
          <w:lang w:val="en"/>
        </w:rPr>
        <w:t xml:space="preserve">as legitimate, the </w:t>
      </w:r>
      <w:r w:rsidRPr="257DA6EC" w:rsidR="00ED73F9">
        <w:rPr>
          <w:rFonts w:ascii="Arial" w:hAnsi="Arial" w:cs="Arial"/>
          <w:lang w:val="en"/>
        </w:rPr>
        <w:t xml:space="preserve">trusted partner may also commit fraud. </w:t>
      </w:r>
    </w:p>
    <w:p w:rsidRPr="00D96D90" w:rsidR="00C11BA2" w:rsidP="00F550E4" w:rsidRDefault="00C11BA2" w14:paraId="7DE1F959" w14:textId="77777777">
      <w:pPr>
        <w:rPr>
          <w:rFonts w:ascii="Arial" w:hAnsi="Arial" w:cs="Arial"/>
          <w:lang w:val="en"/>
        </w:rPr>
      </w:pPr>
    </w:p>
    <w:p w:rsidRPr="009C2D05" w:rsidR="00E410E7" w:rsidP="00F550E4" w:rsidRDefault="00E410E7" w14:paraId="2A4E9104" w14:textId="49FE90BD">
      <w:pPr>
        <w:rPr>
          <w:lang w:val="en"/>
        </w:rPr>
      </w:pPr>
    </w:p>
    <w:p w:rsidRPr="009C2D05" w:rsidR="00E410E7" w:rsidP="00F550E4" w:rsidRDefault="00E410E7" w14:paraId="231E1880" w14:textId="77777777">
      <w:pPr>
        <w:rPr>
          <w:lang w:val="en"/>
        </w:rPr>
      </w:pPr>
    </w:p>
    <w:p w:rsidRPr="009C2D05" w:rsidR="00651E89" w:rsidP="000160C5" w:rsidRDefault="00651E89" w14:paraId="2AF0CDD6" w14:textId="12ECC790">
      <w:pPr>
        <w:rPr>
          <w:rFonts w:ascii="Arial" w:hAnsi="Arial" w:eastAsia="Arial" w:cs="Arial"/>
        </w:rPr>
      </w:pPr>
      <w:r w:rsidRPr="009C2D05">
        <w:rPr>
          <w:rFonts w:ascii="Arial" w:hAnsi="Arial" w:eastAsia="Arial" w:cs="Arial"/>
        </w:rPr>
        <w:t>Labelling:</w:t>
      </w:r>
    </w:p>
    <w:p w:rsidR="00543ACB" w:rsidP="00CB73D0" w:rsidRDefault="00543ACB" w14:paraId="64D6549A" w14:textId="4F90596D">
      <w:pPr>
        <w:pStyle w:val="ListParagraph"/>
        <w:numPr>
          <w:ilvl w:val="0"/>
          <w:numId w:val="4"/>
        </w:numPr>
        <w:rPr>
          <w:rFonts w:ascii="Arial" w:hAnsi="Arial" w:eastAsia="Arial" w:cs="Arial"/>
        </w:rPr>
      </w:pPr>
      <w:r>
        <w:rPr>
          <w:rFonts w:ascii="Arial" w:hAnsi="Arial" w:eastAsia="Arial" w:cs="Arial"/>
        </w:rPr>
        <w:t>Sub</w:t>
      </w:r>
      <w:r w:rsidR="004C48B1">
        <w:rPr>
          <w:rFonts w:ascii="Arial" w:hAnsi="Arial" w:eastAsia="Arial" w:cs="Arial"/>
        </w:rPr>
        <w:t>-</w:t>
      </w:r>
      <w:r>
        <w:rPr>
          <w:rFonts w:ascii="Arial" w:hAnsi="Arial" w:eastAsia="Arial" w:cs="Arial"/>
        </w:rPr>
        <w:t xml:space="preserve">techniques: </w:t>
      </w:r>
      <w:commentRangeStart w:id="5"/>
      <w:r w:rsidR="000121B1">
        <w:rPr>
          <w:rFonts w:ascii="Arial" w:hAnsi="Arial" w:eastAsia="Arial" w:cs="Arial"/>
        </w:rPr>
        <w:t>None</w:t>
      </w:r>
      <w:commentRangeEnd w:id="5"/>
      <w:r w:rsidR="000121B1">
        <w:rPr>
          <w:rStyle w:val="CommentReference"/>
        </w:rPr>
        <w:commentReference w:id="5"/>
      </w:r>
    </w:p>
    <w:p w:rsidRPr="009C2D05" w:rsidR="00AF06DC" w:rsidP="00CB73D0" w:rsidRDefault="003D6861" w14:paraId="1B8F05CE" w14:textId="1D842582">
      <w:pPr>
        <w:pStyle w:val="ListParagraph"/>
        <w:numPr>
          <w:ilvl w:val="0"/>
          <w:numId w:val="4"/>
        </w:numPr>
        <w:rPr>
          <w:rFonts w:ascii="Arial" w:hAnsi="Arial" w:eastAsia="Arial" w:cs="Arial"/>
        </w:rPr>
      </w:pPr>
      <w:r w:rsidRPr="009C2D05">
        <w:rPr>
          <w:rFonts w:ascii="Arial" w:hAnsi="Arial" w:eastAsia="Arial" w:cs="Arial"/>
        </w:rPr>
        <w:t xml:space="preserve">Applicable </w:t>
      </w:r>
      <w:r w:rsidRPr="009C2D05" w:rsidR="00AF06DC">
        <w:rPr>
          <w:rFonts w:ascii="Arial" w:hAnsi="Arial" w:eastAsia="Arial" w:cs="Arial"/>
        </w:rPr>
        <w:t xml:space="preserve">Tactics:  </w:t>
      </w:r>
      <w:commentRangeStart w:id="6"/>
      <w:commentRangeEnd w:id="6"/>
      <w:r w:rsidR="000121B1">
        <w:rPr>
          <w:rStyle w:val="CommentReference"/>
        </w:rPr>
        <w:commentReference w:id="6"/>
      </w:r>
      <w:r w:rsidR="00F16595">
        <w:rPr>
          <w:rFonts w:ascii="Arial" w:hAnsi="Arial" w:eastAsia="Arial" w:cs="Arial"/>
        </w:rPr>
        <w:t>Collection</w:t>
      </w:r>
      <w:r w:rsidR="0069706D">
        <w:rPr>
          <w:rFonts w:ascii="Arial" w:hAnsi="Arial" w:eastAsia="Arial" w:cs="Arial"/>
        </w:rPr>
        <w:t>, Fraud</w:t>
      </w:r>
    </w:p>
    <w:p w:rsidRPr="009C2D05" w:rsidR="00B64733" w:rsidP="000F3FE0" w:rsidRDefault="00B64733" w14:paraId="00D46F48" w14:textId="382F8DFB">
      <w:pPr>
        <w:rPr>
          <w:rFonts w:ascii="Arial" w:hAnsi="Arial" w:eastAsia="Arial" w:cs="Arial"/>
        </w:rPr>
      </w:pPr>
    </w:p>
    <w:p w:rsidRPr="009C2D05" w:rsidR="00A61C28" w:rsidP="000F3FE0" w:rsidRDefault="00A61C28" w14:paraId="1366B712" w14:textId="2386360F">
      <w:pPr>
        <w:rPr>
          <w:rFonts w:ascii="Arial" w:hAnsi="Arial" w:eastAsia="Arial" w:cs="Arial"/>
        </w:rPr>
      </w:pPr>
      <w:r w:rsidRPr="009C2D05">
        <w:rPr>
          <w:rFonts w:ascii="Arial" w:hAnsi="Arial" w:eastAsia="Arial" w:cs="Arial"/>
        </w:rPr>
        <w:t>Metadata:</w:t>
      </w:r>
    </w:p>
    <w:p w:rsidRPr="006C3194" w:rsidR="00B64733" w:rsidP="00CB73D0" w:rsidRDefault="00261A52" w14:paraId="3E9795E7" w14:textId="6BDC1DF0">
      <w:pPr>
        <w:pStyle w:val="ListParagraph"/>
        <w:numPr>
          <w:ilvl w:val="0"/>
          <w:numId w:val="4"/>
        </w:numPr>
        <w:rPr>
          <w:rFonts w:ascii="Arial" w:hAnsi="Arial" w:eastAsia="Arial" w:cs="Arial"/>
        </w:rPr>
      </w:pPr>
      <w:r>
        <w:rPr>
          <w:rFonts w:ascii="Arial" w:hAnsi="Arial" w:eastAsia="Arial" w:cs="Arial"/>
        </w:rPr>
        <w:t>A</w:t>
      </w:r>
      <w:r w:rsidRPr="0F4A1830" w:rsidR="008245F3">
        <w:rPr>
          <w:rFonts w:ascii="Arial" w:hAnsi="Arial" w:eastAsia="Arial" w:cs="Arial"/>
        </w:rPr>
        <w:t>rchitecture</w:t>
      </w:r>
      <w:r>
        <w:rPr>
          <w:rFonts w:ascii="Arial" w:hAnsi="Arial" w:eastAsia="Arial" w:cs="Arial"/>
        </w:rPr>
        <w:t xml:space="preserve"> </w:t>
      </w:r>
      <w:r w:rsidR="00B147F1">
        <w:rPr>
          <w:rFonts w:ascii="Arial" w:hAnsi="Arial" w:eastAsia="Arial" w:cs="Arial"/>
        </w:rPr>
        <w:t>S</w:t>
      </w:r>
      <w:r>
        <w:rPr>
          <w:rFonts w:ascii="Arial" w:hAnsi="Arial" w:eastAsia="Arial" w:cs="Arial"/>
        </w:rPr>
        <w:t>egment</w:t>
      </w:r>
      <w:r w:rsidRPr="0F4A1830" w:rsidR="78666845">
        <w:rPr>
          <w:rFonts w:ascii="Arial" w:hAnsi="Arial" w:eastAsia="Arial" w:cs="Arial"/>
        </w:rPr>
        <w:t xml:space="preserve">:  </w:t>
      </w:r>
      <w:r w:rsidR="00F16595">
        <w:rPr>
          <w:rFonts w:ascii="Arial" w:hAnsi="Arial" w:eastAsia="Arial" w:cs="Arial"/>
        </w:rPr>
        <w:t>Roaming</w:t>
      </w:r>
    </w:p>
    <w:p w:rsidR="00C605AB" w:rsidP="00CB73D0" w:rsidRDefault="00683CA7" w14:paraId="264F76E1" w14:textId="4EF4E8AA">
      <w:pPr>
        <w:pStyle w:val="ListParagraph"/>
        <w:numPr>
          <w:ilvl w:val="0"/>
          <w:numId w:val="4"/>
        </w:numPr>
        <w:rPr>
          <w:rFonts w:ascii="Arial" w:hAnsi="Arial" w:eastAsia="Arial" w:cs="Arial"/>
        </w:rPr>
      </w:pPr>
      <w:r w:rsidRPr="0F4A1830">
        <w:rPr>
          <w:rFonts w:ascii="Arial" w:hAnsi="Arial" w:eastAsia="Arial" w:cs="Arial"/>
        </w:rPr>
        <w:t xml:space="preserve">Platforms: </w:t>
      </w:r>
      <w:r w:rsidR="00C4511F">
        <w:rPr>
          <w:rFonts w:ascii="Arial" w:hAnsi="Arial" w:eastAsia="Arial" w:cs="Arial"/>
        </w:rPr>
        <w:t>IPX, SEPP</w:t>
      </w:r>
      <w:r w:rsidR="00F45D77">
        <w:rPr>
          <w:rFonts w:ascii="Arial" w:hAnsi="Arial" w:eastAsia="Arial" w:cs="Arial"/>
        </w:rPr>
        <w:t>, VAS</w:t>
      </w:r>
    </w:p>
    <w:p w:rsidRPr="00917049" w:rsidR="004A76DF" w:rsidP="00917049" w:rsidRDefault="00917049" w14:paraId="52F75D46" w14:textId="022A5542">
      <w:pPr>
        <w:pStyle w:val="ListParagraph"/>
        <w:numPr>
          <w:ilvl w:val="0"/>
          <w:numId w:val="4"/>
        </w:numPr>
        <w:rPr>
          <w:rFonts w:ascii="Arial" w:hAnsi="Arial" w:eastAsia="Arial" w:cs="Arial"/>
        </w:rPr>
      </w:pPr>
      <w:r>
        <w:rPr>
          <w:rFonts w:ascii="Arial" w:hAnsi="Arial" w:eastAsia="Arial" w:cs="Arial"/>
        </w:rPr>
        <w:t xml:space="preserve">Access </w:t>
      </w:r>
      <w:r w:rsidR="00641720">
        <w:rPr>
          <w:rFonts w:ascii="Arial" w:hAnsi="Arial" w:eastAsia="Arial" w:cs="Arial"/>
        </w:rPr>
        <w:t xml:space="preserve">type </w:t>
      </w:r>
      <w:r>
        <w:rPr>
          <w:rFonts w:ascii="Arial" w:hAnsi="Arial" w:eastAsia="Arial" w:cs="Arial"/>
        </w:rPr>
        <w:t xml:space="preserve">required: </w:t>
      </w:r>
    </w:p>
    <w:p w:rsidRPr="009C2D05" w:rsidR="00A94926" w:rsidP="00CB73D0" w:rsidRDefault="004A76DF" w14:paraId="46A3F73A" w14:textId="0B4FDAE8">
      <w:pPr>
        <w:pStyle w:val="ListParagraph"/>
        <w:numPr>
          <w:ilvl w:val="0"/>
          <w:numId w:val="4"/>
        </w:numPr>
        <w:rPr>
          <w:rFonts w:ascii="Arial" w:hAnsi="Arial" w:eastAsia="Arial" w:cs="Arial"/>
        </w:rPr>
      </w:pPr>
      <w:r w:rsidRPr="009C2D05">
        <w:rPr>
          <w:rFonts w:ascii="Arial" w:hAnsi="Arial" w:eastAsia="Arial" w:cs="Arial"/>
        </w:rPr>
        <w:t xml:space="preserve">Data Sources:  </w:t>
      </w:r>
      <w:r w:rsidR="004522F5">
        <w:rPr>
          <w:rFonts w:ascii="Arial" w:hAnsi="Arial" w:eastAsia="Arial" w:cs="Arial"/>
        </w:rPr>
        <w:t>application</w:t>
      </w:r>
      <w:r w:rsidR="00C4511F">
        <w:rPr>
          <w:rFonts w:ascii="Arial" w:hAnsi="Arial" w:eastAsia="Arial" w:cs="Arial"/>
        </w:rPr>
        <w:t xml:space="preserve"> logs</w:t>
      </w:r>
    </w:p>
    <w:p w:rsidRPr="009C2D05" w:rsidR="00A94926" w:rsidP="00CB73D0" w:rsidRDefault="00A94926" w14:paraId="7AE56E16" w14:textId="39EA517C">
      <w:pPr>
        <w:pStyle w:val="ListParagraph"/>
        <w:numPr>
          <w:ilvl w:val="0"/>
          <w:numId w:val="4"/>
        </w:numPr>
        <w:rPr>
          <w:rFonts w:ascii="Arial" w:hAnsi="Arial" w:eastAsia="Arial" w:cs="Arial"/>
        </w:rPr>
      </w:pPr>
      <w:r w:rsidRPr="009C2D05">
        <w:rPr>
          <w:rFonts w:ascii="Arial" w:hAnsi="Arial" w:eastAsia="Arial" w:cs="Arial"/>
        </w:rPr>
        <w:t>Theoretical</w:t>
      </w:r>
      <w:r w:rsidRPr="009C2D05" w:rsidR="00D7138A">
        <w:rPr>
          <w:rFonts w:ascii="Arial" w:hAnsi="Arial" w:eastAsia="Arial" w:cs="Arial"/>
        </w:rPr>
        <w:t>/</w:t>
      </w:r>
      <w:r w:rsidR="00BA7BC6">
        <w:rPr>
          <w:rFonts w:ascii="Arial" w:hAnsi="Arial" w:eastAsia="Arial" w:cs="Arial"/>
        </w:rPr>
        <w:t>Proof of concept/</w:t>
      </w:r>
      <w:r w:rsidRPr="009C2D05" w:rsidR="00D7138A">
        <w:rPr>
          <w:rFonts w:ascii="Arial" w:hAnsi="Arial" w:eastAsia="Arial" w:cs="Arial"/>
        </w:rPr>
        <w:t>Observed</w:t>
      </w:r>
      <w:r w:rsidRPr="009C2D05">
        <w:rPr>
          <w:rFonts w:ascii="Arial" w:hAnsi="Arial" w:eastAsia="Arial" w:cs="Arial"/>
        </w:rPr>
        <w:t xml:space="preserve">:  </w:t>
      </w:r>
      <w:r w:rsidR="00EE46D1">
        <w:rPr>
          <w:rFonts w:ascii="Arial" w:hAnsi="Arial" w:eastAsia="Arial" w:cs="Arial"/>
        </w:rPr>
        <w:t>Th</w:t>
      </w:r>
      <w:r w:rsidR="007E2DA2">
        <w:rPr>
          <w:rFonts w:ascii="Arial" w:hAnsi="Arial" w:eastAsia="Arial" w:cs="Arial"/>
        </w:rPr>
        <w:t>eoretical</w:t>
      </w:r>
    </w:p>
    <w:p w:rsidRPr="009C2D05" w:rsidR="005C20B9" w:rsidP="5986D52C" w:rsidRDefault="005C20B9" w14:paraId="351E107E" w14:textId="77777777">
      <w:pPr>
        <w:rPr>
          <w:rFonts w:ascii="Arial" w:hAnsi="Arial" w:eastAsia="Arial" w:cs="Arial"/>
          <w:sz w:val="28"/>
          <w:szCs w:val="28"/>
          <w:lang w:val="en"/>
        </w:rPr>
      </w:pPr>
    </w:p>
    <w:p w:rsidRPr="009C2D05" w:rsidR="2CEB8C05" w:rsidP="5986D52C" w:rsidRDefault="005071A3" w14:paraId="4E484562" w14:textId="4288E782">
      <w:pPr>
        <w:rPr>
          <w:rFonts w:ascii="Arial" w:hAnsi="Arial" w:eastAsia="Arial" w:cs="Arial"/>
        </w:rPr>
      </w:pPr>
      <w:commentRangeStart w:id="7"/>
      <w:r w:rsidRPr="009C2D05">
        <w:rPr>
          <w:rFonts w:ascii="Arial" w:hAnsi="Arial" w:eastAsia="Arial" w:cs="Arial"/>
        </w:rPr>
        <w:t xml:space="preserve">Procedure </w:t>
      </w:r>
      <w:r w:rsidRPr="009C2D05" w:rsidR="2CEB8C05">
        <w:rPr>
          <w:rFonts w:ascii="Arial" w:hAnsi="Arial" w:eastAsia="Arial" w:cs="Arial"/>
        </w:rPr>
        <w:t>Examples</w:t>
      </w:r>
      <w:commentRangeEnd w:id="7"/>
      <w:r w:rsidR="00E51DAF">
        <w:rPr>
          <w:rStyle w:val="CommentReference"/>
        </w:rPr>
        <w:commentReference w:id="7"/>
      </w:r>
    </w:p>
    <w:tbl>
      <w:tblPr>
        <w:tblStyle w:val="TableGrid"/>
        <w:tblW w:w="0" w:type="auto"/>
        <w:tblLayout w:type="fixed"/>
        <w:tblLook w:val="04A0" w:firstRow="1" w:lastRow="0" w:firstColumn="1" w:lastColumn="0" w:noHBand="0" w:noVBand="1"/>
      </w:tblPr>
      <w:tblGrid>
        <w:gridCol w:w="4680"/>
        <w:gridCol w:w="4680"/>
      </w:tblGrid>
      <w:tr w:rsidRPr="009C2D05" w:rsidR="5986D52C" w:rsidTr="5986D52C" w14:paraId="2845C53F" w14:textId="77777777">
        <w:tc>
          <w:tcPr>
            <w:tcW w:w="4680" w:type="dxa"/>
          </w:tcPr>
          <w:p w:rsidRPr="009C2D05" w:rsidR="5986D52C" w:rsidP="5986D52C" w:rsidRDefault="5986D52C" w14:paraId="79B4C725" w14:textId="0F76A2ED">
            <w:pPr>
              <w:rPr>
                <w:rFonts w:ascii="Arial" w:hAnsi="Arial" w:eastAsia="Arial" w:cs="Arial"/>
                <w:sz w:val="22"/>
                <w:szCs w:val="22"/>
              </w:rPr>
            </w:pPr>
            <w:r w:rsidRPr="009C2D05">
              <w:rPr>
                <w:rFonts w:ascii="Arial" w:hAnsi="Arial" w:eastAsia="Arial" w:cs="Arial"/>
                <w:b/>
                <w:bCs/>
                <w:sz w:val="22"/>
                <w:szCs w:val="22"/>
              </w:rPr>
              <w:t>Name</w:t>
            </w:r>
            <w:r w:rsidRPr="009C2D05">
              <w:rPr>
                <w:rFonts w:ascii="Arial" w:hAnsi="Arial" w:eastAsia="Arial" w:cs="Arial"/>
                <w:sz w:val="22"/>
                <w:szCs w:val="22"/>
              </w:rPr>
              <w:t> </w:t>
            </w:r>
          </w:p>
        </w:tc>
        <w:tc>
          <w:tcPr>
            <w:tcW w:w="4680" w:type="dxa"/>
          </w:tcPr>
          <w:p w:rsidRPr="009C2D05" w:rsidR="5986D52C" w:rsidP="5986D52C" w:rsidRDefault="5986D52C" w14:paraId="4E6394A5" w14:textId="162C7F4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5986D52C" w:rsidTr="5986D52C" w14:paraId="211679DE" w14:textId="77777777">
        <w:tc>
          <w:tcPr>
            <w:tcW w:w="4680" w:type="dxa"/>
          </w:tcPr>
          <w:p w:rsidRPr="00E51DAF" w:rsidR="5986D52C" w:rsidP="00F23461" w:rsidRDefault="00E51DAF" w14:paraId="35EB4C3D" w14:textId="5F7DD641">
            <w:pPr>
              <w:rPr>
                <w:rFonts w:ascii="Arial" w:hAnsi="Arial" w:eastAsia="Arial" w:cs="Arial"/>
                <w:sz w:val="16"/>
                <w:szCs w:val="16"/>
              </w:rPr>
            </w:pPr>
            <w:r w:rsidRPr="00E51DAF">
              <w:rPr>
                <w:rFonts w:ascii="Arial" w:hAnsi="Arial" w:eastAsia="Arial" w:cs="Arial"/>
                <w:sz w:val="16"/>
                <w:szCs w:val="16"/>
              </w:rPr>
              <w:t>Manipulate data between two PLMNs</w:t>
            </w:r>
          </w:p>
        </w:tc>
        <w:tc>
          <w:tcPr>
            <w:tcW w:w="4680" w:type="dxa"/>
          </w:tcPr>
          <w:p w:rsidRPr="00E51DAF" w:rsidR="07561C29" w:rsidP="5986D52C" w:rsidRDefault="00E51DAF" w14:paraId="6BB7B8F4" w14:textId="41233F1D">
            <w:pPr>
              <w:rPr>
                <w:rFonts w:ascii="Arial" w:hAnsi="Arial" w:cs="Arial"/>
                <w:sz w:val="16"/>
                <w:szCs w:val="16"/>
                <w:lang w:val="en"/>
              </w:rPr>
            </w:pPr>
            <w:r w:rsidRPr="00E51DAF">
              <w:rPr>
                <w:rFonts w:ascii="Arial" w:hAnsi="Arial" w:cs="Arial"/>
                <w:sz w:val="16"/>
                <w:szCs w:val="16"/>
                <w:lang w:val="en"/>
              </w:rPr>
              <w:t xml:space="preserve">In one approach, the adversary, in a position on an IPX, could </w:t>
            </w:r>
            <w:commentRangeStart w:id="8"/>
            <w:commentRangeStart w:id="9"/>
            <w:r w:rsidRPr="00E51DAF">
              <w:rPr>
                <w:rFonts w:ascii="Arial" w:hAnsi="Arial" w:cs="Arial"/>
                <w:sz w:val="16"/>
                <w:szCs w:val="16"/>
                <w:lang w:val="en"/>
              </w:rPr>
              <w:t xml:space="preserve">modify the messages </w:t>
            </w:r>
            <w:commentRangeEnd w:id="8"/>
            <w:r w:rsidRPr="00E51DAF">
              <w:rPr>
                <w:rStyle w:val="CommentReference"/>
                <w:rFonts w:ascii="Arial" w:hAnsi="Arial" w:cs="Arial"/>
              </w:rPr>
              <w:commentReference w:id="8"/>
            </w:r>
            <w:commentRangeEnd w:id="9"/>
            <w:r w:rsidRPr="00E51DAF">
              <w:rPr>
                <w:rStyle w:val="CommentReference"/>
                <w:rFonts w:ascii="Arial" w:hAnsi="Arial" w:cs="Arial"/>
              </w:rPr>
              <w:commentReference w:id="9"/>
            </w:r>
            <w:r w:rsidRPr="00E51DAF">
              <w:rPr>
                <w:rFonts w:ascii="Arial" w:hAnsi="Arial" w:cs="Arial"/>
                <w:sz w:val="16"/>
                <w:szCs w:val="16"/>
                <w:lang w:val="en"/>
              </w:rPr>
              <w:t xml:space="preserve">between the </w:t>
            </w:r>
            <w:proofErr w:type="spellStart"/>
            <w:r w:rsidRPr="00E51DAF">
              <w:rPr>
                <w:rFonts w:ascii="Arial" w:hAnsi="Arial" w:cs="Arial"/>
                <w:sz w:val="16"/>
                <w:szCs w:val="16"/>
                <w:lang w:val="en"/>
              </w:rPr>
              <w:t>v</w:t>
            </w:r>
            <w:commentRangeStart w:id="10"/>
            <w:commentRangeStart w:id="11"/>
            <w:r w:rsidRPr="00E51DAF">
              <w:rPr>
                <w:rFonts w:ascii="Arial" w:hAnsi="Arial" w:cs="Arial"/>
                <w:sz w:val="16"/>
                <w:szCs w:val="16"/>
                <w:lang w:val="en"/>
              </w:rPr>
              <w:t>PLMN</w:t>
            </w:r>
            <w:proofErr w:type="spellEnd"/>
            <w:r w:rsidRPr="00E51DAF">
              <w:rPr>
                <w:rFonts w:ascii="Arial" w:hAnsi="Arial" w:cs="Arial"/>
                <w:sz w:val="16"/>
                <w:szCs w:val="16"/>
                <w:lang w:val="en"/>
              </w:rPr>
              <w:t xml:space="preserve"> (visited PLMN) and </w:t>
            </w:r>
            <w:proofErr w:type="spellStart"/>
            <w:r w:rsidRPr="00E51DAF">
              <w:rPr>
                <w:rFonts w:ascii="Arial" w:hAnsi="Arial" w:cs="Arial"/>
                <w:sz w:val="16"/>
                <w:szCs w:val="16"/>
                <w:lang w:val="en"/>
              </w:rPr>
              <w:t>hPLMN</w:t>
            </w:r>
            <w:proofErr w:type="spellEnd"/>
            <w:r w:rsidRPr="00E51DAF">
              <w:rPr>
                <w:rFonts w:ascii="Arial" w:hAnsi="Arial" w:cs="Arial"/>
                <w:sz w:val="16"/>
                <w:szCs w:val="16"/>
                <w:lang w:val="en"/>
              </w:rPr>
              <w:t xml:space="preserve"> (home PLMN) </w:t>
            </w:r>
            <w:commentRangeEnd w:id="10"/>
            <w:r w:rsidRPr="00E51DAF">
              <w:rPr>
                <w:rStyle w:val="CommentReference"/>
                <w:rFonts w:ascii="Arial" w:hAnsi="Arial" w:cs="Arial"/>
              </w:rPr>
              <w:commentReference w:id="10"/>
            </w:r>
            <w:commentRangeEnd w:id="11"/>
            <w:r w:rsidRPr="00E51DAF">
              <w:rPr>
                <w:rStyle w:val="CommentReference"/>
                <w:rFonts w:ascii="Arial" w:hAnsi="Arial" w:cs="Arial"/>
              </w:rPr>
              <w:commentReference w:id="11"/>
            </w:r>
            <w:commentRangeStart w:id="12"/>
            <w:r w:rsidRPr="00E51DAF">
              <w:rPr>
                <w:rFonts w:ascii="Arial" w:hAnsi="Arial" w:cs="Arial"/>
                <w:sz w:val="16"/>
                <w:szCs w:val="16"/>
                <w:lang w:val="en"/>
              </w:rPr>
              <w:t>if PRINS is used</w:t>
            </w:r>
            <w:commentRangeEnd w:id="12"/>
            <w:r w:rsidRPr="00E51DAF">
              <w:rPr>
                <w:rStyle w:val="CommentReference"/>
                <w:rFonts w:ascii="Arial" w:hAnsi="Arial" w:cs="Arial"/>
              </w:rPr>
              <w:commentReference w:id="12"/>
            </w:r>
            <w:r w:rsidRPr="00E51DAF">
              <w:rPr>
                <w:rFonts w:ascii="Arial" w:hAnsi="Arial" w:cs="Arial"/>
                <w:sz w:val="16"/>
                <w:szCs w:val="16"/>
                <w:lang w:val="en"/>
              </w:rPr>
              <w:t xml:space="preserve">, resulting in possible information modification and/or disclosure.  Modification of an Information element (IE) could enable possible denial of service </w:t>
            </w:r>
            <w:commentRangeStart w:id="13"/>
            <w:commentRangeStart w:id="14"/>
            <w:r w:rsidRPr="00E51DAF">
              <w:rPr>
                <w:rFonts w:ascii="Arial" w:hAnsi="Arial" w:cs="Arial"/>
                <w:sz w:val="16"/>
                <w:szCs w:val="16"/>
                <w:lang w:val="en"/>
              </w:rPr>
              <w:t>and/or information disclosure</w:t>
            </w:r>
            <w:commentRangeEnd w:id="13"/>
            <w:r w:rsidRPr="00E51DAF">
              <w:rPr>
                <w:rStyle w:val="CommentReference"/>
                <w:rFonts w:ascii="Arial" w:hAnsi="Arial" w:cs="Arial"/>
              </w:rPr>
              <w:commentReference w:id="13"/>
            </w:r>
            <w:commentRangeEnd w:id="14"/>
            <w:r w:rsidRPr="00E51DAF">
              <w:rPr>
                <w:rStyle w:val="CommentReference"/>
                <w:rFonts w:ascii="Arial" w:hAnsi="Arial" w:cs="Arial"/>
              </w:rPr>
              <w:commentReference w:id="14"/>
            </w:r>
            <w:r w:rsidRPr="00E51DAF">
              <w:rPr>
                <w:rFonts w:ascii="Arial" w:hAnsi="Arial" w:cs="Arial"/>
                <w:sz w:val="16"/>
                <w:szCs w:val="16"/>
                <w:lang w:val="en"/>
              </w:rPr>
              <w:t xml:space="preserve"> and this is addressed in </w:t>
            </w:r>
            <w:r w:rsidR="00054CC8">
              <w:rPr>
                <w:rFonts w:ascii="Arial" w:hAnsi="Arial" w:cs="Arial"/>
                <w:sz w:val="16"/>
                <w:szCs w:val="16"/>
                <w:lang w:val="en"/>
              </w:rPr>
              <w:t>[</w:t>
            </w:r>
            <w:r w:rsidRPr="00E51DAF">
              <w:rPr>
                <w:rFonts w:ascii="Arial" w:hAnsi="Arial" w:cs="Arial"/>
                <w:sz w:val="16"/>
                <w:szCs w:val="16"/>
                <w:lang w:val="en"/>
              </w:rPr>
              <w:t>FGT5029</w:t>
            </w:r>
            <w:r w:rsidR="00054CC8">
              <w:rPr>
                <w:rFonts w:ascii="Arial" w:hAnsi="Arial" w:cs="Arial"/>
                <w:sz w:val="16"/>
                <w:szCs w:val="16"/>
                <w:lang w:val="en"/>
              </w:rPr>
              <w:t>](/techniques/FGT5029)</w:t>
            </w:r>
            <w:r w:rsidRPr="00E51DAF">
              <w:rPr>
                <w:rFonts w:ascii="Arial" w:hAnsi="Arial" w:cs="Arial"/>
                <w:sz w:val="16"/>
                <w:szCs w:val="16"/>
                <w:lang w:val="en"/>
              </w:rPr>
              <w:t xml:space="preserve">. </w:t>
            </w:r>
          </w:p>
        </w:tc>
      </w:tr>
      <w:tr w:rsidRPr="009C2D05" w:rsidR="00E51DAF" w:rsidTr="5986D52C" w14:paraId="11DCA1A6" w14:textId="77777777">
        <w:tc>
          <w:tcPr>
            <w:tcW w:w="4680" w:type="dxa"/>
          </w:tcPr>
          <w:p w:rsidRPr="00E51DAF" w:rsidR="00E51DAF" w:rsidP="00F23461" w:rsidRDefault="00D96D90" w14:paraId="52311766" w14:textId="1FCA27F5">
            <w:pPr>
              <w:rPr>
                <w:rFonts w:ascii="Arial" w:hAnsi="Arial" w:eastAsia="Arial" w:cs="Arial"/>
                <w:sz w:val="16"/>
                <w:szCs w:val="16"/>
              </w:rPr>
            </w:pPr>
            <w:r>
              <w:rPr>
                <w:rFonts w:ascii="Arial" w:hAnsi="Arial" w:eastAsia="Arial" w:cs="Arial"/>
                <w:sz w:val="16"/>
                <w:szCs w:val="16"/>
              </w:rPr>
              <w:t>Compromise SEPP and modify signaling it sends</w:t>
            </w:r>
          </w:p>
        </w:tc>
        <w:tc>
          <w:tcPr>
            <w:tcW w:w="4680" w:type="dxa"/>
          </w:tcPr>
          <w:p w:rsidRPr="00D8794F" w:rsidR="00E51DAF" w:rsidP="5986D52C" w:rsidRDefault="00D8794F" w14:paraId="405B83D0" w14:textId="627E6446">
            <w:pPr>
              <w:rPr>
                <w:rFonts w:ascii="Arial" w:hAnsi="Arial" w:cs="Arial"/>
                <w:sz w:val="16"/>
                <w:szCs w:val="16"/>
                <w:lang w:val="en"/>
              </w:rPr>
            </w:pPr>
            <w:r>
              <w:rPr>
                <w:rFonts w:ascii="Arial" w:hAnsi="Arial" w:cs="Arial"/>
                <w:sz w:val="16"/>
                <w:szCs w:val="16"/>
                <w:lang w:val="en"/>
              </w:rPr>
              <w:t>I</w:t>
            </w:r>
            <w:r w:rsidRPr="00D8794F" w:rsidR="00E51DAF">
              <w:rPr>
                <w:rFonts w:ascii="Arial" w:hAnsi="Arial" w:cs="Arial"/>
                <w:sz w:val="16"/>
                <w:szCs w:val="16"/>
                <w:lang w:val="en"/>
              </w:rPr>
              <w:t xml:space="preserve">f the adversary controls a </w:t>
            </w:r>
            <w:proofErr w:type="spellStart"/>
            <w:r w:rsidRPr="00D8794F" w:rsidR="00E51DAF">
              <w:rPr>
                <w:rFonts w:ascii="Arial" w:hAnsi="Arial" w:cs="Arial"/>
                <w:sz w:val="16"/>
                <w:szCs w:val="16"/>
                <w:lang w:val="en"/>
              </w:rPr>
              <w:t>vPLMN</w:t>
            </w:r>
            <w:proofErr w:type="spellEnd"/>
            <w:r w:rsidRPr="00D8794F" w:rsidR="00E51DAF">
              <w:rPr>
                <w:rFonts w:ascii="Arial" w:hAnsi="Arial" w:cs="Arial"/>
                <w:sz w:val="16"/>
                <w:szCs w:val="16"/>
                <w:lang w:val="en"/>
              </w:rPr>
              <w:t xml:space="preserve"> SEPP they may modify signaling on N32 and/or generate requests to </w:t>
            </w:r>
            <w:proofErr w:type="spellStart"/>
            <w:r w:rsidRPr="00D8794F" w:rsidR="00E51DAF">
              <w:rPr>
                <w:rFonts w:ascii="Arial" w:hAnsi="Arial" w:cs="Arial"/>
                <w:sz w:val="16"/>
                <w:szCs w:val="16"/>
                <w:lang w:val="en"/>
              </w:rPr>
              <w:t>hPLMN</w:t>
            </w:r>
            <w:proofErr w:type="spellEnd"/>
            <w:r w:rsidRPr="00D8794F" w:rsidR="00E51DAF">
              <w:rPr>
                <w:rFonts w:ascii="Arial" w:hAnsi="Arial" w:cs="Arial"/>
                <w:sz w:val="16"/>
                <w:szCs w:val="16"/>
                <w:lang w:val="en"/>
              </w:rPr>
              <w:t xml:space="preserve"> NFs. The adversary controlled </w:t>
            </w:r>
            <w:proofErr w:type="spellStart"/>
            <w:r w:rsidRPr="00D8794F" w:rsidR="00E51DAF">
              <w:rPr>
                <w:rFonts w:ascii="Arial" w:hAnsi="Arial" w:cs="Arial"/>
                <w:sz w:val="16"/>
                <w:szCs w:val="16"/>
                <w:lang w:val="en"/>
              </w:rPr>
              <w:t>vSEPP</w:t>
            </w:r>
            <w:proofErr w:type="spellEnd"/>
            <w:r w:rsidRPr="00D8794F" w:rsidR="00E51DAF">
              <w:rPr>
                <w:rFonts w:ascii="Arial" w:hAnsi="Arial" w:cs="Arial"/>
                <w:sz w:val="16"/>
                <w:szCs w:val="16"/>
                <w:lang w:val="en"/>
              </w:rPr>
              <w:t xml:space="preserve"> could terminate TLS connections to </w:t>
            </w:r>
            <w:proofErr w:type="spellStart"/>
            <w:r w:rsidRPr="00D8794F" w:rsidR="00E51DAF">
              <w:rPr>
                <w:rFonts w:ascii="Arial" w:hAnsi="Arial" w:cs="Arial"/>
                <w:sz w:val="16"/>
                <w:szCs w:val="16"/>
                <w:lang w:val="en"/>
              </w:rPr>
              <w:t>hPLMN</w:t>
            </w:r>
            <w:proofErr w:type="spellEnd"/>
            <w:r w:rsidRPr="00D8794F" w:rsidR="00E51DAF">
              <w:rPr>
                <w:rFonts w:ascii="Arial" w:hAnsi="Arial" w:cs="Arial"/>
                <w:sz w:val="16"/>
                <w:szCs w:val="16"/>
                <w:lang w:val="en"/>
              </w:rPr>
              <w:t xml:space="preserve"> NFs and proxy requests as an adversary-in-the-middle, see </w:t>
            </w:r>
            <w:r w:rsidR="00BE75E1">
              <w:rPr>
                <w:rFonts w:ascii="Arial" w:hAnsi="Arial" w:cs="Arial"/>
                <w:sz w:val="16"/>
                <w:szCs w:val="16"/>
                <w:lang w:val="en"/>
              </w:rPr>
              <w:t>[FG</w:t>
            </w:r>
            <w:r w:rsidRPr="00D8794F" w:rsidR="00E51DAF">
              <w:rPr>
                <w:rFonts w:ascii="Arial" w:hAnsi="Arial" w:cs="Arial"/>
                <w:sz w:val="16"/>
                <w:szCs w:val="16"/>
                <w:lang w:val="en"/>
              </w:rPr>
              <w:t>T1</w:t>
            </w:r>
            <w:r w:rsidR="003A2685">
              <w:rPr>
                <w:rFonts w:ascii="Arial" w:hAnsi="Arial" w:cs="Arial"/>
                <w:sz w:val="16"/>
                <w:szCs w:val="16"/>
                <w:lang w:val="en"/>
              </w:rPr>
              <w:t>5</w:t>
            </w:r>
            <w:r w:rsidRPr="00D8794F" w:rsidR="00E51DAF">
              <w:rPr>
                <w:rFonts w:ascii="Arial" w:hAnsi="Arial" w:cs="Arial"/>
                <w:sz w:val="16"/>
                <w:szCs w:val="16"/>
                <w:lang w:val="en"/>
              </w:rPr>
              <w:t>57.502</w:t>
            </w:r>
            <w:r w:rsidR="00D76504">
              <w:rPr>
                <w:rFonts w:ascii="Arial" w:hAnsi="Arial" w:cs="Arial"/>
                <w:sz w:val="16"/>
                <w:szCs w:val="16"/>
                <w:lang w:val="en"/>
              </w:rPr>
              <w:t>](/techniques/FGT1557.502)</w:t>
            </w:r>
            <w:r w:rsidRPr="00D8794F" w:rsidR="00E51DAF">
              <w:rPr>
                <w:rFonts w:ascii="Arial" w:hAnsi="Arial" w:cs="Arial"/>
                <w:sz w:val="16"/>
                <w:szCs w:val="16"/>
                <w:lang w:val="en"/>
              </w:rPr>
              <w:t>. Legitimate looking requests that could result in information disclosure or fraud may involve Value Added Service (VAS), e.g. VAS providing SEPP to the VPLMN</w:t>
            </w:r>
          </w:p>
        </w:tc>
      </w:tr>
    </w:tbl>
    <w:p w:rsidRPr="009C2D05" w:rsidR="5986D52C" w:rsidP="5986D52C" w:rsidRDefault="5986D52C" w14:paraId="21175BA1" w14:textId="50003A92">
      <w:pPr>
        <w:rPr>
          <w:rFonts w:ascii="Arial" w:hAnsi="Arial" w:eastAsia="Arial" w:cs="Arial"/>
        </w:rPr>
      </w:pPr>
    </w:p>
    <w:p w:rsidRPr="009C2D05" w:rsidR="2CEB8C05" w:rsidP="5986D52C" w:rsidRDefault="2CEB8C05" w14:paraId="681D347D" w14:textId="7B4D7564">
      <w:pPr>
        <w:rPr>
          <w:rFonts w:ascii="Arial" w:hAnsi="Arial" w:eastAsia="Arial" w:cs="Arial"/>
        </w:rPr>
      </w:pPr>
      <w:commentRangeStart w:id="16"/>
      <w:commentRangeStart w:id="17"/>
      <w:r w:rsidRPr="009C2D05">
        <w:rPr>
          <w:rFonts w:ascii="Arial" w:hAnsi="Arial" w:eastAsia="Arial" w:cs="Arial"/>
        </w:rPr>
        <w:t>Mitigations</w:t>
      </w:r>
      <w:commentRangeEnd w:id="16"/>
      <w:r w:rsidR="008548B0">
        <w:rPr>
          <w:rStyle w:val="CommentReference"/>
        </w:rPr>
        <w:commentReference w:id="16"/>
      </w:r>
      <w:commentRangeEnd w:id="17"/>
      <w:r w:rsidR="004D026E">
        <w:rPr>
          <w:rStyle w:val="CommentReference"/>
        </w:rPr>
        <w:commentReference w:id="17"/>
      </w:r>
    </w:p>
    <w:tbl>
      <w:tblPr>
        <w:tblStyle w:val="TableGrid"/>
        <w:tblW w:w="9360" w:type="dxa"/>
        <w:tblLayout w:type="fixed"/>
        <w:tblLook w:val="04A0" w:firstRow="1" w:lastRow="0" w:firstColumn="1" w:lastColumn="0" w:noHBand="0" w:noVBand="1"/>
      </w:tblPr>
      <w:tblGrid>
        <w:gridCol w:w="4680"/>
        <w:gridCol w:w="4680"/>
      </w:tblGrid>
      <w:tr w:rsidRPr="009C2D05" w:rsidR="5986D52C" w:rsidTr="786C9D04" w14:paraId="2C7B0960" w14:textId="77777777">
        <w:tc>
          <w:tcPr>
            <w:tcW w:w="4680" w:type="dxa"/>
          </w:tcPr>
          <w:p w:rsidRPr="009C2D05" w:rsidR="5986D52C" w:rsidP="5986D52C" w:rsidRDefault="00542223" w14:paraId="5235A3B5" w14:textId="2DF5AB40">
            <w:pPr>
              <w:rPr>
                <w:rFonts w:ascii="Arial" w:hAnsi="Arial" w:eastAsia="Arial" w:cs="Arial"/>
                <w:sz w:val="22"/>
                <w:szCs w:val="22"/>
              </w:rPr>
            </w:pPr>
            <w:r>
              <w:rPr>
                <w:rFonts w:ascii="Arial" w:hAnsi="Arial" w:eastAsia="Arial" w:cs="Arial"/>
                <w:b/>
                <w:bCs/>
                <w:sz w:val="22"/>
                <w:szCs w:val="22"/>
              </w:rPr>
              <w:t>ID</w:t>
            </w:r>
          </w:p>
        </w:tc>
        <w:tc>
          <w:tcPr>
            <w:tcW w:w="4680" w:type="dxa"/>
          </w:tcPr>
          <w:p w:rsidRPr="009C2D05" w:rsidR="5986D52C" w:rsidP="5986D52C" w:rsidRDefault="00542223" w14:paraId="1A331B23" w14:textId="4E95F141">
            <w:pPr>
              <w:rPr>
                <w:rFonts w:ascii="Arial" w:hAnsi="Arial" w:eastAsia="Arial" w:cs="Arial"/>
                <w:sz w:val="22"/>
                <w:szCs w:val="22"/>
              </w:rPr>
            </w:pPr>
            <w:r>
              <w:rPr>
                <w:rFonts w:ascii="Arial" w:hAnsi="Arial" w:eastAsia="Arial" w:cs="Arial"/>
                <w:b/>
                <w:bCs/>
                <w:sz w:val="22"/>
                <w:szCs w:val="22"/>
              </w:rPr>
              <w:t>Use</w:t>
            </w:r>
          </w:p>
        </w:tc>
      </w:tr>
      <w:tr w:rsidRPr="009C2D05" w:rsidR="5986D52C" w:rsidTr="786C9D04" w14:paraId="28F08000" w14:textId="77777777">
        <w:tc>
          <w:tcPr>
            <w:tcW w:w="4680" w:type="dxa"/>
          </w:tcPr>
          <w:p w:rsidRPr="009C2D05" w:rsidR="61FBA80F" w:rsidP="5986D52C" w:rsidRDefault="00E343AB" w14:paraId="5786B3E1" w14:textId="6CED2CE7">
            <w:pPr>
              <w:spacing w:line="259" w:lineRule="auto"/>
              <w:rPr>
                <w:sz w:val="22"/>
                <w:szCs w:val="22"/>
              </w:rPr>
            </w:pPr>
            <w:r>
              <w:rPr>
                <w:rFonts w:ascii="Arial" w:hAnsi="Arial" w:eastAsia="Arial" w:cs="Arial"/>
                <w:sz w:val="16"/>
                <w:szCs w:val="16"/>
              </w:rPr>
              <w:t>M1041</w:t>
            </w:r>
          </w:p>
        </w:tc>
        <w:tc>
          <w:tcPr>
            <w:tcW w:w="4680" w:type="dxa"/>
          </w:tcPr>
          <w:p w:rsidRPr="009C2D05" w:rsidR="3224D91A" w:rsidP="786C9D04" w:rsidRDefault="001E1CCE" w14:paraId="0C171B52" w14:textId="221845CA">
            <w:pPr>
              <w:spacing w:line="259" w:lineRule="auto"/>
              <w:rPr>
                <w:rFonts w:ascii="Arial" w:hAnsi="Arial" w:eastAsia="Arial" w:cs="Arial"/>
                <w:sz w:val="16"/>
                <w:szCs w:val="16"/>
              </w:rPr>
            </w:pPr>
            <w:r w:rsidRPr="001E1CCE">
              <w:rPr>
                <w:rFonts w:ascii="Arial" w:hAnsi="Arial" w:eastAsia="Arial" w:cs="Arial"/>
                <w:sz w:val="16"/>
                <w:szCs w:val="16"/>
              </w:rPr>
              <w:t>Block or limit cipher choices used for JWS</w:t>
            </w:r>
            <w:r>
              <w:rPr>
                <w:rFonts w:ascii="Arial" w:hAnsi="Arial" w:eastAsia="Arial" w:cs="Arial"/>
                <w:sz w:val="16"/>
                <w:szCs w:val="16"/>
              </w:rPr>
              <w:t xml:space="preserve">. </w:t>
            </w:r>
            <w:r w:rsidRPr="786C9D04" w:rsidR="786C9D04">
              <w:rPr>
                <w:rFonts w:ascii="Arial" w:hAnsi="Arial" w:eastAsia="Arial" w:cs="Arial"/>
                <w:sz w:val="16"/>
                <w:szCs w:val="16"/>
              </w:rPr>
              <w:t>Use of weak JWS ciphers could allow unauthorized disclosure</w:t>
            </w:r>
          </w:p>
        </w:tc>
      </w:tr>
      <w:tr w:rsidRPr="009C2D05" w:rsidR="002412E2" w:rsidTr="786C9D04" w14:paraId="594883FD" w14:textId="77777777">
        <w:tc>
          <w:tcPr>
            <w:tcW w:w="4680" w:type="dxa"/>
          </w:tcPr>
          <w:p w:rsidR="002412E2" w:rsidP="5986D52C" w:rsidRDefault="00D65CB1" w14:paraId="612BE983" w14:textId="25B3FD7D">
            <w:pPr>
              <w:spacing w:line="259" w:lineRule="auto"/>
              <w:rPr>
                <w:rFonts w:ascii="Arial" w:hAnsi="Arial" w:eastAsia="Arial" w:cs="Arial"/>
                <w:sz w:val="16"/>
                <w:szCs w:val="16"/>
              </w:rPr>
            </w:pPr>
            <w:r>
              <w:rPr>
                <w:rFonts w:ascii="Arial" w:hAnsi="Arial" w:eastAsia="Arial" w:cs="Arial"/>
                <w:sz w:val="16"/>
                <w:szCs w:val="16"/>
              </w:rPr>
              <w:t>M1054</w:t>
            </w:r>
          </w:p>
        </w:tc>
        <w:tc>
          <w:tcPr>
            <w:tcW w:w="4680" w:type="dxa"/>
          </w:tcPr>
          <w:p w:rsidRPr="009C2D05" w:rsidR="002412E2" w:rsidP="25900B44" w:rsidRDefault="007E5943" w14:paraId="6CAA388E" w14:textId="62AB648D">
            <w:pPr>
              <w:rPr>
                <w:rFonts w:ascii="Arial" w:hAnsi="Arial" w:eastAsia="Arial" w:cs="Arial"/>
                <w:sz w:val="16"/>
                <w:szCs w:val="16"/>
              </w:rPr>
            </w:pPr>
            <w:r w:rsidRPr="007E5943">
              <w:rPr>
                <w:rFonts w:ascii="Arial" w:hAnsi="Arial" w:eastAsia="Arial" w:cs="Arial"/>
                <w:sz w:val="16"/>
                <w:szCs w:val="16"/>
              </w:rPr>
              <w:t xml:space="preserve">Block unauthorized IE modifications by </w:t>
            </w:r>
            <w:r w:rsidRPr="007E5943" w:rsidR="00D05802">
              <w:rPr>
                <w:rFonts w:ascii="Arial" w:hAnsi="Arial" w:eastAsia="Arial" w:cs="Arial"/>
                <w:sz w:val="16"/>
                <w:szCs w:val="16"/>
              </w:rPr>
              <w:t>IPX. Allow</w:t>
            </w:r>
            <w:r w:rsidR="000D7C9C">
              <w:rPr>
                <w:rFonts w:ascii="Arial" w:hAnsi="Arial" w:eastAsia="Arial" w:cs="Arial"/>
                <w:sz w:val="16"/>
                <w:szCs w:val="16"/>
              </w:rPr>
              <w:t xml:space="preserve"> only communication where </w:t>
            </w:r>
            <w:r w:rsidRPr="00E7585C" w:rsidR="00E7585C">
              <w:rPr>
                <w:rFonts w:ascii="Arial" w:hAnsi="Arial" w:eastAsia="Arial" w:cs="Arial"/>
                <w:sz w:val="16"/>
                <w:szCs w:val="16"/>
              </w:rPr>
              <w:t>authorized</w:t>
            </w:r>
            <w:r w:rsidR="000B0C59">
              <w:rPr>
                <w:rFonts w:ascii="Arial" w:hAnsi="Arial" w:eastAsia="Arial" w:cs="Arial"/>
                <w:sz w:val="16"/>
                <w:szCs w:val="16"/>
              </w:rPr>
              <w:t xml:space="preserve"> </w:t>
            </w:r>
            <w:proofErr w:type="spellStart"/>
            <w:r w:rsidRPr="00E7585C" w:rsidR="00E7585C">
              <w:rPr>
                <w:rFonts w:ascii="Arial" w:hAnsi="Arial" w:eastAsia="Arial" w:cs="Arial"/>
                <w:sz w:val="16"/>
                <w:szCs w:val="16"/>
              </w:rPr>
              <w:t>IpxId</w:t>
            </w:r>
            <w:proofErr w:type="spellEnd"/>
            <w:r w:rsidRPr="00E7585C" w:rsidR="00E7585C">
              <w:rPr>
                <w:rFonts w:ascii="Arial" w:hAnsi="Arial" w:eastAsia="Arial" w:cs="Arial"/>
                <w:sz w:val="16"/>
                <w:szCs w:val="16"/>
              </w:rPr>
              <w:t xml:space="preserve"> is not NULL</w:t>
            </w:r>
          </w:p>
        </w:tc>
      </w:tr>
      <w:tr w:rsidR="786C9D04" w:rsidTr="786C9D04" w14:paraId="4F838575" w14:textId="77777777">
        <w:tc>
          <w:tcPr>
            <w:tcW w:w="4680" w:type="dxa"/>
          </w:tcPr>
          <w:p w:rsidR="786C9D04" w:rsidP="786C9D04" w:rsidRDefault="005F6004" w14:paraId="275230B8" w14:textId="2AED66FF">
            <w:pPr>
              <w:spacing w:line="259" w:lineRule="auto"/>
              <w:rPr>
                <w:rFonts w:ascii="Arial" w:hAnsi="Arial" w:eastAsia="Arial" w:cs="Arial"/>
                <w:sz w:val="16"/>
                <w:szCs w:val="16"/>
              </w:rPr>
            </w:pPr>
            <w:r>
              <w:rPr>
                <w:rFonts w:ascii="Arial" w:hAnsi="Arial" w:eastAsia="Arial" w:cs="Arial"/>
                <w:sz w:val="16"/>
                <w:szCs w:val="16"/>
              </w:rPr>
              <w:t>M1056</w:t>
            </w:r>
          </w:p>
        </w:tc>
        <w:tc>
          <w:tcPr>
            <w:tcW w:w="4680" w:type="dxa"/>
          </w:tcPr>
          <w:p w:rsidR="786C9D04" w:rsidP="786C9D04" w:rsidRDefault="007E5943" w14:paraId="06D91092" w14:textId="432F7427">
            <w:pPr>
              <w:rPr>
                <w:rFonts w:ascii="Arial" w:hAnsi="Arial" w:eastAsia="Arial" w:cs="Arial"/>
                <w:sz w:val="16"/>
                <w:szCs w:val="16"/>
              </w:rPr>
            </w:pPr>
            <w:r w:rsidRPr="007E5943">
              <w:rPr>
                <w:rFonts w:ascii="Arial" w:hAnsi="Arial" w:eastAsia="Arial" w:cs="Arial"/>
                <w:sz w:val="16"/>
                <w:szCs w:val="16"/>
              </w:rPr>
              <w:t>Avoid using PRINS and use direct SEPP-</w:t>
            </w:r>
            <w:r w:rsidRPr="007E5943" w:rsidR="00D05802">
              <w:rPr>
                <w:rFonts w:ascii="Arial" w:hAnsi="Arial" w:eastAsia="Arial" w:cs="Arial"/>
                <w:sz w:val="16"/>
                <w:szCs w:val="16"/>
              </w:rPr>
              <w:t>SEPP with</w:t>
            </w:r>
            <w:r w:rsidRPr="007E5943">
              <w:rPr>
                <w:rFonts w:ascii="Arial" w:hAnsi="Arial" w:eastAsia="Arial" w:cs="Arial"/>
                <w:sz w:val="16"/>
                <w:szCs w:val="16"/>
              </w:rPr>
              <w:t xml:space="preserve"> HTTP/s</w:t>
            </w:r>
            <w:r>
              <w:rPr>
                <w:rFonts w:ascii="Arial" w:hAnsi="Arial" w:eastAsia="Arial" w:cs="Arial"/>
                <w:sz w:val="16"/>
                <w:szCs w:val="16"/>
              </w:rPr>
              <w:t xml:space="preserve">. </w:t>
            </w:r>
            <w:r w:rsidRPr="007E5943">
              <w:rPr>
                <w:rFonts w:ascii="Arial" w:hAnsi="Arial" w:eastAsia="Arial" w:cs="Arial"/>
                <w:sz w:val="16"/>
                <w:szCs w:val="16"/>
              </w:rPr>
              <w:t xml:space="preserve"> </w:t>
            </w:r>
            <w:r w:rsidR="003B146F">
              <w:rPr>
                <w:rFonts w:ascii="Arial" w:hAnsi="Arial" w:eastAsia="Arial" w:cs="Arial"/>
                <w:sz w:val="16"/>
                <w:szCs w:val="16"/>
              </w:rPr>
              <w:t xml:space="preserve">Use of </w:t>
            </w:r>
            <w:r w:rsidR="002C3A2C">
              <w:rPr>
                <w:rFonts w:ascii="Arial" w:hAnsi="Arial" w:eastAsia="Arial" w:cs="Arial"/>
                <w:sz w:val="16"/>
                <w:szCs w:val="16"/>
              </w:rPr>
              <w:t xml:space="preserve">the </w:t>
            </w:r>
            <w:proofErr w:type="gramStart"/>
            <w:r w:rsidR="002C3A2C">
              <w:rPr>
                <w:rFonts w:ascii="Arial" w:hAnsi="Arial" w:eastAsia="Arial" w:cs="Arial"/>
                <w:sz w:val="16"/>
                <w:szCs w:val="16"/>
              </w:rPr>
              <w:t>SEPP to SEPP</w:t>
            </w:r>
            <w:proofErr w:type="gramEnd"/>
            <w:r w:rsidR="002C3A2C">
              <w:rPr>
                <w:rFonts w:ascii="Arial" w:hAnsi="Arial" w:eastAsia="Arial" w:cs="Arial"/>
                <w:sz w:val="16"/>
                <w:szCs w:val="16"/>
              </w:rPr>
              <w:t xml:space="preserve"> solution instead of allowing an IPX to potentiall</w:t>
            </w:r>
            <w:r w:rsidR="00794A49">
              <w:rPr>
                <w:rFonts w:ascii="Arial" w:hAnsi="Arial" w:eastAsia="Arial" w:cs="Arial"/>
                <w:sz w:val="16"/>
                <w:szCs w:val="16"/>
              </w:rPr>
              <w:t xml:space="preserve">y </w:t>
            </w:r>
            <w:r w:rsidR="00271441">
              <w:rPr>
                <w:rFonts w:ascii="Arial" w:hAnsi="Arial" w:eastAsia="Arial" w:cs="Arial"/>
                <w:sz w:val="16"/>
                <w:szCs w:val="16"/>
              </w:rPr>
              <w:t xml:space="preserve">observe and manipulate </w:t>
            </w:r>
            <w:r w:rsidR="00122DCD">
              <w:rPr>
                <w:rFonts w:ascii="Arial" w:hAnsi="Arial" w:eastAsia="Arial" w:cs="Arial"/>
                <w:sz w:val="16"/>
                <w:szCs w:val="16"/>
              </w:rPr>
              <w:t xml:space="preserve">information </w:t>
            </w:r>
            <w:r w:rsidR="00B105D8">
              <w:rPr>
                <w:rFonts w:ascii="Arial" w:hAnsi="Arial" w:eastAsia="Arial" w:cs="Arial"/>
                <w:sz w:val="16"/>
                <w:szCs w:val="16"/>
              </w:rPr>
              <w:t>avoids the problem.</w:t>
            </w:r>
            <w:r w:rsidR="001F134B">
              <w:rPr>
                <w:rFonts w:ascii="Arial" w:hAnsi="Arial" w:eastAsia="Arial" w:cs="Arial"/>
                <w:sz w:val="16"/>
                <w:szCs w:val="16"/>
              </w:rPr>
              <w:t xml:space="preserve"> A future SEPP hub solution may also mitigate this </w:t>
            </w:r>
            <w:r w:rsidR="00D36613">
              <w:rPr>
                <w:rFonts w:ascii="Arial" w:hAnsi="Arial" w:eastAsia="Arial" w:cs="Arial"/>
                <w:sz w:val="16"/>
                <w:szCs w:val="16"/>
              </w:rPr>
              <w:t>risk</w:t>
            </w:r>
            <w:r w:rsidR="00E95C28">
              <w:rPr>
                <w:rFonts w:ascii="Arial" w:hAnsi="Arial" w:eastAsia="Arial" w:cs="Arial"/>
                <w:sz w:val="16"/>
                <w:szCs w:val="16"/>
              </w:rPr>
              <w:t xml:space="preserve"> by providing a more scalable SEPP to SEPP solution</w:t>
            </w:r>
            <w:r w:rsidR="002818A2">
              <w:rPr>
                <w:rFonts w:ascii="Arial" w:hAnsi="Arial" w:eastAsia="Arial" w:cs="Arial"/>
                <w:sz w:val="16"/>
                <w:szCs w:val="16"/>
              </w:rPr>
              <w:t>.</w:t>
            </w:r>
          </w:p>
        </w:tc>
      </w:tr>
    </w:tbl>
    <w:p w:rsidRPr="009C2D05" w:rsidR="5986D52C" w:rsidRDefault="5986D52C" w14:paraId="4815BE93" w14:textId="70AA70BF">
      <w:pPr>
        <w:rPr>
          <w:sz w:val="22"/>
          <w:szCs w:val="22"/>
        </w:rPr>
      </w:pPr>
    </w:p>
    <w:p w:rsidRPr="009C2D05" w:rsidR="00EB6DC6" w:rsidP="00EB6DC6" w:rsidRDefault="00EB6DC6" w14:paraId="1EBD8926" w14:textId="267DDC1D">
      <w:pPr>
        <w:rPr>
          <w:rFonts w:ascii="Arial" w:hAnsi="Arial" w:eastAsia="Arial" w:cs="Arial"/>
        </w:rPr>
      </w:pPr>
      <w:r w:rsidRPr="009C2D05">
        <w:rPr>
          <w:rFonts w:ascii="Arial" w:hAnsi="Arial" w:eastAsia="Arial" w:cs="Arial"/>
        </w:rPr>
        <w:t>Pre-Conditions</w:t>
      </w:r>
    </w:p>
    <w:tbl>
      <w:tblPr>
        <w:tblStyle w:val="TableGrid"/>
        <w:tblW w:w="9360" w:type="dxa"/>
        <w:tblLayout w:type="fixed"/>
        <w:tblLook w:val="04A0" w:firstRow="1" w:lastRow="0" w:firstColumn="1" w:lastColumn="0" w:noHBand="0" w:noVBand="1"/>
      </w:tblPr>
      <w:tblGrid>
        <w:gridCol w:w="4680"/>
        <w:gridCol w:w="4680"/>
      </w:tblGrid>
      <w:tr w:rsidRPr="009C2D05" w:rsidR="00EB6DC6" w:rsidTr="00710D9E" w14:paraId="6588A2B5" w14:textId="77777777">
        <w:tc>
          <w:tcPr>
            <w:tcW w:w="4680" w:type="dxa"/>
          </w:tcPr>
          <w:p w:rsidRPr="009C2D05" w:rsidR="00EB6DC6" w:rsidP="00710D9E" w:rsidRDefault="00AB004E" w14:paraId="68433717" w14:textId="285DF76B">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EB6DC6" w:rsidP="00710D9E" w:rsidRDefault="00EB6DC6" w14:paraId="75A567B6"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EB6DC6" w:rsidTr="007C4423" w14:paraId="17D5AAAA" w14:textId="77777777">
        <w:trPr>
          <w:trHeight w:val="32"/>
        </w:trPr>
        <w:tc>
          <w:tcPr>
            <w:tcW w:w="4680" w:type="dxa"/>
          </w:tcPr>
          <w:p w:rsidRPr="009C2D05" w:rsidR="00EB6DC6" w:rsidP="00710D9E" w:rsidRDefault="00726AAA" w14:paraId="45D6E1AE" w14:textId="7D9F96F8">
            <w:pPr>
              <w:spacing w:line="259" w:lineRule="auto"/>
              <w:rPr>
                <w:sz w:val="22"/>
                <w:szCs w:val="22"/>
              </w:rPr>
            </w:pPr>
            <w:r>
              <w:rPr>
                <w:rFonts w:ascii="Arial" w:hAnsi="Arial" w:eastAsia="Arial" w:cs="Arial"/>
                <w:sz w:val="16"/>
                <w:szCs w:val="16"/>
              </w:rPr>
              <w:t>IPX key compromise</w:t>
            </w:r>
          </w:p>
        </w:tc>
        <w:tc>
          <w:tcPr>
            <w:tcW w:w="4680" w:type="dxa"/>
          </w:tcPr>
          <w:p w:rsidRPr="009C2D05" w:rsidR="00EB6DC6" w:rsidP="00710D9E" w:rsidRDefault="00726AAA" w14:paraId="5F9CA793" w14:textId="475B3397">
            <w:pPr>
              <w:rPr>
                <w:rFonts w:ascii="Arial" w:hAnsi="Arial" w:eastAsia="Arial" w:cs="Arial"/>
                <w:sz w:val="16"/>
                <w:szCs w:val="16"/>
              </w:rPr>
            </w:pPr>
            <w:r>
              <w:rPr>
                <w:rFonts w:ascii="Arial" w:hAnsi="Arial" w:eastAsia="Arial" w:cs="Arial"/>
                <w:sz w:val="16"/>
                <w:szCs w:val="16"/>
              </w:rPr>
              <w:t xml:space="preserve">Adversary </w:t>
            </w:r>
            <w:r w:rsidR="00A3089F">
              <w:rPr>
                <w:rFonts w:ascii="Arial" w:hAnsi="Arial" w:eastAsia="Arial" w:cs="Arial"/>
                <w:sz w:val="16"/>
                <w:szCs w:val="16"/>
              </w:rPr>
              <w:t>will need to compromise keys used to sign IE modifications at IPX</w:t>
            </w:r>
          </w:p>
        </w:tc>
      </w:tr>
      <w:tr w:rsidRPr="009C2D05" w:rsidR="00514E14" w:rsidTr="007C4423" w14:paraId="0B850757" w14:textId="77777777">
        <w:trPr>
          <w:trHeight w:val="32"/>
        </w:trPr>
        <w:tc>
          <w:tcPr>
            <w:tcW w:w="4680" w:type="dxa"/>
          </w:tcPr>
          <w:p w:rsidR="00514E14" w:rsidP="00710D9E" w:rsidRDefault="00514E14" w14:paraId="2BC99EE3" w14:textId="02AE6CDA">
            <w:pPr>
              <w:spacing w:line="259" w:lineRule="auto"/>
              <w:rPr>
                <w:rFonts w:ascii="Arial" w:hAnsi="Arial" w:eastAsia="Arial" w:cs="Arial"/>
                <w:sz w:val="16"/>
                <w:szCs w:val="16"/>
              </w:rPr>
            </w:pPr>
            <w:r>
              <w:rPr>
                <w:rFonts w:ascii="Arial" w:hAnsi="Arial" w:eastAsia="Arial" w:cs="Arial"/>
                <w:sz w:val="16"/>
                <w:szCs w:val="16"/>
              </w:rPr>
              <w:t xml:space="preserve">Compromise of </w:t>
            </w:r>
            <w:commentRangeStart w:id="19"/>
            <w:commentRangeStart w:id="20"/>
            <w:commentRangeStart w:id="21"/>
            <w:r w:rsidR="007E7BE1">
              <w:rPr>
                <w:rFonts w:ascii="Arial" w:hAnsi="Arial" w:eastAsia="Arial" w:cs="Arial"/>
                <w:sz w:val="16"/>
                <w:szCs w:val="16"/>
              </w:rPr>
              <w:t xml:space="preserve">initiating </w:t>
            </w:r>
            <w:commentRangeEnd w:id="19"/>
            <w:r w:rsidR="00580060">
              <w:rPr>
                <w:rStyle w:val="CommentReference"/>
              </w:rPr>
              <w:commentReference w:id="19"/>
            </w:r>
            <w:commentRangeEnd w:id="20"/>
            <w:r w:rsidR="00783C6F">
              <w:rPr>
                <w:rStyle w:val="CommentReference"/>
              </w:rPr>
              <w:commentReference w:id="20"/>
            </w:r>
            <w:commentRangeEnd w:id="21"/>
            <w:r w:rsidR="00EF340A">
              <w:rPr>
                <w:rStyle w:val="CommentReference"/>
              </w:rPr>
              <w:commentReference w:id="21"/>
            </w:r>
            <w:r w:rsidR="007E7BE1">
              <w:rPr>
                <w:rFonts w:ascii="Arial" w:hAnsi="Arial" w:eastAsia="Arial" w:cs="Arial"/>
                <w:sz w:val="16"/>
                <w:szCs w:val="16"/>
              </w:rPr>
              <w:t>SEPP</w:t>
            </w:r>
          </w:p>
        </w:tc>
        <w:tc>
          <w:tcPr>
            <w:tcW w:w="4680" w:type="dxa"/>
          </w:tcPr>
          <w:p w:rsidR="00514E14" w:rsidP="00710D9E" w:rsidRDefault="007E7BE1" w14:paraId="70E13A43" w14:textId="4CC94DA1">
            <w:pPr>
              <w:rPr>
                <w:rFonts w:ascii="Arial" w:hAnsi="Arial" w:eastAsia="Arial" w:cs="Arial"/>
                <w:sz w:val="16"/>
                <w:szCs w:val="16"/>
              </w:rPr>
            </w:pPr>
            <w:r>
              <w:rPr>
                <w:rFonts w:ascii="Arial" w:hAnsi="Arial" w:eastAsia="Arial" w:cs="Arial"/>
                <w:sz w:val="16"/>
                <w:szCs w:val="16"/>
              </w:rPr>
              <w:t>Compromise of the initiating SEPP</w:t>
            </w:r>
            <w:r w:rsidR="00EE2044">
              <w:rPr>
                <w:rFonts w:ascii="Arial" w:hAnsi="Arial" w:eastAsia="Arial" w:cs="Arial"/>
                <w:sz w:val="16"/>
                <w:szCs w:val="16"/>
              </w:rPr>
              <w:t>, typically the VPLMN SEPP,</w:t>
            </w:r>
            <w:r>
              <w:rPr>
                <w:rFonts w:ascii="Arial" w:hAnsi="Arial" w:eastAsia="Arial" w:cs="Arial"/>
                <w:sz w:val="16"/>
                <w:szCs w:val="16"/>
              </w:rPr>
              <w:t xml:space="preserve"> would permi</w:t>
            </w:r>
            <w:r w:rsidR="00BE77EF">
              <w:rPr>
                <w:rFonts w:ascii="Arial" w:hAnsi="Arial" w:eastAsia="Arial" w:cs="Arial"/>
                <w:sz w:val="16"/>
                <w:szCs w:val="16"/>
              </w:rPr>
              <w:t>t an adversary to establish a protection policy that would allow IPX modification.</w:t>
            </w:r>
          </w:p>
        </w:tc>
      </w:tr>
    </w:tbl>
    <w:p w:rsidRPr="009C2D05" w:rsidR="00EB6DC6" w:rsidP="00EB6DC6" w:rsidRDefault="00EB6DC6" w14:paraId="7B0103B0" w14:textId="77777777">
      <w:pPr>
        <w:rPr>
          <w:sz w:val="22"/>
          <w:szCs w:val="22"/>
        </w:rPr>
      </w:pPr>
    </w:p>
    <w:p w:rsidRPr="009C2D05" w:rsidR="001036B2" w:rsidP="001036B2" w:rsidRDefault="001036B2" w14:paraId="5FF8DE7A" w14:textId="16235F97">
      <w:pPr>
        <w:rPr>
          <w:rFonts w:ascii="Arial" w:hAnsi="Arial" w:eastAsia="Arial" w:cs="Arial"/>
        </w:rPr>
      </w:pPr>
      <w:r w:rsidRPr="009C2D05">
        <w:rPr>
          <w:rFonts w:ascii="Arial" w:hAnsi="Arial" w:eastAsia="Arial" w:cs="Arial"/>
        </w:rPr>
        <w:t>Critical Assets</w:t>
      </w:r>
    </w:p>
    <w:tbl>
      <w:tblPr>
        <w:tblStyle w:val="TableGrid"/>
        <w:tblW w:w="9360" w:type="dxa"/>
        <w:tblLayout w:type="fixed"/>
        <w:tblLook w:val="04A0" w:firstRow="1" w:lastRow="0" w:firstColumn="1" w:lastColumn="0" w:noHBand="0" w:noVBand="1"/>
      </w:tblPr>
      <w:tblGrid>
        <w:gridCol w:w="4680"/>
        <w:gridCol w:w="4680"/>
      </w:tblGrid>
      <w:tr w:rsidRPr="009C2D05" w:rsidR="001036B2" w:rsidTr="0272C9E8" w14:paraId="50BF27D0" w14:textId="77777777">
        <w:tc>
          <w:tcPr>
            <w:tcW w:w="4680" w:type="dxa"/>
          </w:tcPr>
          <w:p w:rsidRPr="009C2D05" w:rsidR="001036B2" w:rsidP="00710D9E" w:rsidRDefault="001036B2" w14:paraId="697BDFD6"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1036B2" w:rsidP="00710D9E" w:rsidRDefault="001036B2" w14:paraId="50470CB4"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DC11C9" w:rsidTr="0272C9E8" w14:paraId="5AF04C39" w14:textId="77777777">
        <w:tc>
          <w:tcPr>
            <w:tcW w:w="4680" w:type="dxa"/>
          </w:tcPr>
          <w:p w:rsidRPr="009C2D05" w:rsidR="00DC11C9" w:rsidP="00BF1124" w:rsidRDefault="00DC11C9" w14:paraId="02AA7F51" w14:textId="17D963CF">
            <w:pPr>
              <w:spacing w:line="259" w:lineRule="auto"/>
              <w:rPr>
                <w:rFonts w:ascii="Arial" w:hAnsi="Arial" w:eastAsia="Arial" w:cs="Arial"/>
                <w:b/>
                <w:bCs/>
                <w:sz w:val="22"/>
                <w:szCs w:val="22"/>
              </w:rPr>
            </w:pPr>
            <w:r w:rsidRPr="00BF1124">
              <w:rPr>
                <w:rFonts w:ascii="Arial" w:hAnsi="Arial" w:eastAsia="Arial" w:cs="Arial"/>
                <w:sz w:val="16"/>
                <w:szCs w:val="16"/>
              </w:rPr>
              <w:t>SEPP</w:t>
            </w:r>
          </w:p>
        </w:tc>
        <w:tc>
          <w:tcPr>
            <w:tcW w:w="4680" w:type="dxa"/>
          </w:tcPr>
          <w:p w:rsidRPr="00BF1124" w:rsidR="00DC11C9" w:rsidP="00BF1124" w:rsidRDefault="00DC11C9" w14:paraId="61E2F57B" w14:textId="4F798B6A">
            <w:pPr>
              <w:spacing w:line="259" w:lineRule="auto"/>
              <w:rPr>
                <w:rFonts w:ascii="Arial" w:hAnsi="Arial" w:eastAsia="Arial" w:cs="Arial"/>
                <w:sz w:val="16"/>
                <w:szCs w:val="16"/>
              </w:rPr>
            </w:pPr>
            <w:r w:rsidRPr="00BF1124">
              <w:rPr>
                <w:rFonts w:ascii="Arial" w:hAnsi="Arial" w:eastAsia="Arial" w:cs="Arial"/>
                <w:sz w:val="16"/>
                <w:szCs w:val="16"/>
              </w:rPr>
              <w:t>Adversar</w:t>
            </w:r>
            <w:r w:rsidRPr="00BF1124" w:rsidR="00BC22EB">
              <w:rPr>
                <w:rFonts w:ascii="Arial" w:hAnsi="Arial" w:eastAsia="Arial" w:cs="Arial"/>
                <w:sz w:val="16"/>
                <w:szCs w:val="16"/>
              </w:rPr>
              <w:t xml:space="preserve">ies </w:t>
            </w:r>
            <w:r w:rsidR="006B2B25">
              <w:rPr>
                <w:rFonts w:ascii="Arial" w:hAnsi="Arial" w:eastAsia="Arial" w:cs="Arial"/>
                <w:sz w:val="16"/>
                <w:szCs w:val="16"/>
              </w:rPr>
              <w:t>m</w:t>
            </w:r>
            <w:r w:rsidRPr="00BF1124" w:rsidR="00BC22EB">
              <w:rPr>
                <w:rFonts w:ascii="Arial" w:hAnsi="Arial" w:eastAsia="Arial" w:cs="Arial"/>
                <w:sz w:val="16"/>
                <w:szCs w:val="16"/>
              </w:rPr>
              <w:t xml:space="preserve">ay need to compromise a </w:t>
            </w:r>
            <w:proofErr w:type="spellStart"/>
            <w:r w:rsidRPr="00BF1124" w:rsidR="00BC22EB">
              <w:rPr>
                <w:rFonts w:ascii="Arial" w:hAnsi="Arial" w:eastAsia="Arial" w:cs="Arial"/>
                <w:sz w:val="16"/>
                <w:szCs w:val="16"/>
              </w:rPr>
              <w:t>vSEPP</w:t>
            </w:r>
            <w:proofErr w:type="spellEnd"/>
            <w:r w:rsidRPr="00BF1124" w:rsidR="00BC22EB">
              <w:rPr>
                <w:rFonts w:ascii="Arial" w:hAnsi="Arial" w:eastAsia="Arial" w:cs="Arial"/>
                <w:sz w:val="16"/>
                <w:szCs w:val="16"/>
              </w:rPr>
              <w:t xml:space="preserve"> to perform certain activities to ensure they look legitimate.</w:t>
            </w:r>
          </w:p>
        </w:tc>
      </w:tr>
      <w:tr w:rsidRPr="009C2D05" w:rsidR="00BC22EB" w:rsidTr="0272C9E8" w14:paraId="664C66B6" w14:textId="77777777">
        <w:tc>
          <w:tcPr>
            <w:tcW w:w="4680" w:type="dxa"/>
          </w:tcPr>
          <w:p w:rsidR="00BC22EB" w:rsidP="00BF1124" w:rsidRDefault="00BC22EB" w14:paraId="43DC29B9" w14:textId="65098365">
            <w:pPr>
              <w:spacing w:line="259" w:lineRule="auto"/>
              <w:rPr>
                <w:rFonts w:ascii="Arial" w:hAnsi="Arial" w:eastAsia="Arial" w:cs="Arial"/>
                <w:b/>
                <w:bCs/>
                <w:sz w:val="22"/>
                <w:szCs w:val="22"/>
              </w:rPr>
            </w:pPr>
            <w:commentRangeStart w:id="22"/>
            <w:commentRangeStart w:id="23"/>
            <w:commentRangeStart w:id="24"/>
            <w:r w:rsidRPr="00BF1124">
              <w:rPr>
                <w:rFonts w:ascii="Arial" w:hAnsi="Arial" w:eastAsia="Arial" w:cs="Arial"/>
                <w:sz w:val="16"/>
                <w:szCs w:val="16"/>
              </w:rPr>
              <w:t>NFs</w:t>
            </w:r>
            <w:commentRangeEnd w:id="22"/>
            <w:r w:rsidR="001B38F9">
              <w:rPr>
                <w:rStyle w:val="CommentReference"/>
              </w:rPr>
              <w:commentReference w:id="22"/>
            </w:r>
            <w:commentRangeEnd w:id="23"/>
            <w:r w:rsidR="00EE2044">
              <w:rPr>
                <w:rStyle w:val="CommentReference"/>
              </w:rPr>
              <w:commentReference w:id="23"/>
            </w:r>
            <w:commentRangeEnd w:id="24"/>
            <w:r w:rsidR="005C41D9">
              <w:rPr>
                <w:rStyle w:val="CommentReference"/>
              </w:rPr>
              <w:commentReference w:id="24"/>
            </w:r>
            <w:r w:rsidR="00251450">
              <w:rPr>
                <w:rFonts w:ascii="Arial" w:hAnsi="Arial" w:eastAsia="Arial" w:cs="Arial"/>
                <w:sz w:val="16"/>
                <w:szCs w:val="16"/>
              </w:rPr>
              <w:t xml:space="preserve"> in the </w:t>
            </w:r>
            <w:proofErr w:type="spellStart"/>
            <w:r w:rsidR="00251450">
              <w:rPr>
                <w:rFonts w:ascii="Arial" w:hAnsi="Arial" w:eastAsia="Arial" w:cs="Arial"/>
                <w:sz w:val="16"/>
                <w:szCs w:val="16"/>
              </w:rPr>
              <w:t>vPLMN</w:t>
            </w:r>
            <w:proofErr w:type="spellEnd"/>
          </w:p>
        </w:tc>
        <w:tc>
          <w:tcPr>
            <w:tcW w:w="4680" w:type="dxa"/>
          </w:tcPr>
          <w:p w:rsidRPr="00BF1124" w:rsidR="00BC22EB" w:rsidP="00BF1124" w:rsidRDefault="00BC22EB" w14:paraId="70396E61" w14:textId="55B33842">
            <w:pPr>
              <w:spacing w:line="259" w:lineRule="auto"/>
              <w:rPr>
                <w:rFonts w:ascii="Arial" w:hAnsi="Arial" w:eastAsia="Arial" w:cs="Arial"/>
                <w:sz w:val="16"/>
                <w:szCs w:val="16"/>
              </w:rPr>
            </w:pPr>
            <w:r w:rsidRPr="00BF1124">
              <w:rPr>
                <w:rFonts w:ascii="Arial" w:hAnsi="Arial" w:eastAsia="Arial" w:cs="Arial"/>
                <w:sz w:val="16"/>
                <w:szCs w:val="16"/>
              </w:rPr>
              <w:t xml:space="preserve">Adversaries may need to compromise a </w:t>
            </w:r>
            <w:proofErr w:type="spellStart"/>
            <w:r w:rsidRPr="00BF1124">
              <w:rPr>
                <w:rFonts w:ascii="Arial" w:hAnsi="Arial" w:eastAsia="Arial" w:cs="Arial"/>
                <w:sz w:val="16"/>
                <w:szCs w:val="16"/>
              </w:rPr>
              <w:t>vPLMN</w:t>
            </w:r>
            <w:proofErr w:type="spellEnd"/>
            <w:r w:rsidRPr="00BF1124">
              <w:rPr>
                <w:rFonts w:ascii="Arial" w:hAnsi="Arial" w:eastAsia="Arial" w:cs="Arial"/>
                <w:sz w:val="16"/>
                <w:szCs w:val="16"/>
              </w:rPr>
              <w:t xml:space="preserve"> NF to perform certain activities to ensure they look legitimate</w:t>
            </w:r>
          </w:p>
        </w:tc>
      </w:tr>
      <w:tr w:rsidRPr="009C2D05" w:rsidR="001036B2" w:rsidTr="0272C9E8" w14:paraId="31ED3BAE" w14:textId="77777777">
        <w:tc>
          <w:tcPr>
            <w:tcW w:w="4680" w:type="dxa"/>
          </w:tcPr>
          <w:p w:rsidRPr="009C2D05" w:rsidR="001036B2" w:rsidP="00710D9E" w:rsidRDefault="007C4423" w14:paraId="506728E8" w14:textId="073055A2">
            <w:pPr>
              <w:spacing w:line="259" w:lineRule="auto"/>
              <w:rPr>
                <w:sz w:val="22"/>
                <w:szCs w:val="22"/>
              </w:rPr>
            </w:pPr>
            <w:r>
              <w:rPr>
                <w:rFonts w:ascii="Arial" w:hAnsi="Arial" w:eastAsia="Arial" w:cs="Arial"/>
                <w:sz w:val="16"/>
                <w:szCs w:val="16"/>
              </w:rPr>
              <w:t>IPX signing keys</w:t>
            </w:r>
          </w:p>
        </w:tc>
        <w:tc>
          <w:tcPr>
            <w:tcW w:w="4680" w:type="dxa"/>
          </w:tcPr>
          <w:p w:rsidRPr="009C2D05" w:rsidR="001036B2" w:rsidP="0272C9E8" w:rsidRDefault="007C4423" w14:paraId="20993E06" w14:textId="4594DD2B">
            <w:pPr>
              <w:rPr>
                <w:rFonts w:ascii="Arial" w:hAnsi="Arial" w:eastAsia="Arial" w:cs="Arial"/>
                <w:sz w:val="16"/>
                <w:szCs w:val="16"/>
              </w:rPr>
            </w:pPr>
            <w:r>
              <w:rPr>
                <w:rFonts w:ascii="Arial" w:hAnsi="Arial" w:eastAsia="Arial" w:cs="Arial"/>
                <w:sz w:val="16"/>
                <w:szCs w:val="16"/>
              </w:rPr>
              <w:t>Adversary will need to compromise keys used to sign IE modifications at IPX</w:t>
            </w:r>
          </w:p>
        </w:tc>
      </w:tr>
    </w:tbl>
    <w:p w:rsidRPr="009C2D05" w:rsidR="001036B2" w:rsidP="001036B2" w:rsidRDefault="001036B2" w14:paraId="75175155" w14:textId="77777777">
      <w:pPr>
        <w:rPr>
          <w:sz w:val="22"/>
          <w:szCs w:val="22"/>
        </w:rPr>
      </w:pPr>
    </w:p>
    <w:p w:rsidRPr="009C2D05" w:rsidR="00122B07" w:rsidP="00122B07" w:rsidRDefault="00122B07" w14:paraId="71F1901D" w14:textId="28417371">
      <w:pPr>
        <w:rPr>
          <w:rFonts w:ascii="Arial" w:hAnsi="Arial" w:eastAsia="Arial" w:cs="Arial"/>
        </w:rPr>
      </w:pPr>
      <w:r w:rsidRPr="009C2D05">
        <w:rPr>
          <w:rFonts w:ascii="Arial" w:hAnsi="Arial" w:eastAsia="Arial" w:cs="Arial"/>
        </w:rPr>
        <w:t>Detection</w:t>
      </w:r>
    </w:p>
    <w:tbl>
      <w:tblPr>
        <w:tblStyle w:val="TableGrid"/>
        <w:tblW w:w="9360" w:type="dxa"/>
        <w:tblLayout w:type="fixed"/>
        <w:tblLook w:val="04A0" w:firstRow="1" w:lastRow="0" w:firstColumn="1" w:lastColumn="0" w:noHBand="0" w:noVBand="1"/>
      </w:tblPr>
      <w:tblGrid>
        <w:gridCol w:w="4680"/>
        <w:gridCol w:w="4680"/>
      </w:tblGrid>
      <w:tr w:rsidRPr="009C2D05" w:rsidR="00122B07" w:rsidTr="00710D9E" w14:paraId="675DC8F8" w14:textId="77777777">
        <w:tc>
          <w:tcPr>
            <w:tcW w:w="4680" w:type="dxa"/>
          </w:tcPr>
          <w:p w:rsidRPr="009C2D05" w:rsidR="00122B07" w:rsidP="00710D9E" w:rsidRDefault="00057E76" w14:paraId="5B32A584" w14:textId="69552EA4">
            <w:pPr>
              <w:rPr>
                <w:rFonts w:ascii="Arial" w:hAnsi="Arial" w:eastAsia="Arial" w:cs="Arial"/>
                <w:sz w:val="22"/>
                <w:szCs w:val="22"/>
              </w:rPr>
            </w:pPr>
            <w:r>
              <w:rPr>
                <w:rFonts w:ascii="Arial" w:hAnsi="Arial" w:eastAsia="Arial" w:cs="Arial"/>
                <w:b/>
                <w:bCs/>
                <w:sz w:val="22"/>
                <w:szCs w:val="22"/>
              </w:rPr>
              <w:t>ID</w:t>
            </w:r>
          </w:p>
        </w:tc>
        <w:tc>
          <w:tcPr>
            <w:tcW w:w="4680" w:type="dxa"/>
          </w:tcPr>
          <w:p w:rsidRPr="009C2D05" w:rsidR="00122B07" w:rsidP="00710D9E" w:rsidRDefault="00057E76" w14:paraId="410491E5" w14:textId="718C1114">
            <w:pPr>
              <w:rPr>
                <w:rFonts w:ascii="Arial" w:hAnsi="Arial" w:eastAsia="Arial" w:cs="Arial"/>
                <w:sz w:val="22"/>
                <w:szCs w:val="22"/>
              </w:rPr>
            </w:pPr>
            <w:r>
              <w:rPr>
                <w:rFonts w:ascii="Arial" w:hAnsi="Arial" w:eastAsia="Arial" w:cs="Arial"/>
                <w:b/>
                <w:bCs/>
                <w:sz w:val="22"/>
                <w:szCs w:val="22"/>
              </w:rPr>
              <w:t>Detects</w:t>
            </w:r>
          </w:p>
        </w:tc>
      </w:tr>
      <w:tr w:rsidRPr="009C2D05" w:rsidR="00122B07" w:rsidTr="00710D9E" w14:paraId="0375BB01" w14:textId="77777777">
        <w:tc>
          <w:tcPr>
            <w:tcW w:w="4680" w:type="dxa"/>
          </w:tcPr>
          <w:p w:rsidRPr="009C2D05" w:rsidR="00122B07" w:rsidP="00710D9E" w:rsidRDefault="004854FF" w14:paraId="13F3B693" w14:textId="64C685BD">
            <w:pPr>
              <w:spacing w:line="259" w:lineRule="auto"/>
              <w:rPr>
                <w:sz w:val="22"/>
                <w:szCs w:val="22"/>
              </w:rPr>
            </w:pPr>
            <w:r>
              <w:rPr>
                <w:rFonts w:ascii="Arial" w:hAnsi="Arial" w:eastAsia="Arial" w:cs="Arial"/>
                <w:sz w:val="16"/>
                <w:szCs w:val="16"/>
              </w:rPr>
              <w:t>DS0015</w:t>
            </w:r>
          </w:p>
        </w:tc>
        <w:tc>
          <w:tcPr>
            <w:tcW w:w="4680" w:type="dxa"/>
          </w:tcPr>
          <w:p w:rsidRPr="009C2D05" w:rsidR="00122B07" w:rsidP="00710D9E" w:rsidRDefault="007C4423" w14:paraId="07AFEF23" w14:textId="6F804A00">
            <w:pPr>
              <w:rPr>
                <w:rFonts w:ascii="Arial" w:hAnsi="Arial" w:eastAsia="Arial" w:cs="Arial"/>
                <w:sz w:val="16"/>
                <w:szCs w:val="16"/>
              </w:rPr>
            </w:pPr>
            <w:r>
              <w:rPr>
                <w:rFonts w:ascii="Arial" w:hAnsi="Arial" w:eastAsia="Arial" w:cs="Arial"/>
                <w:sz w:val="16"/>
                <w:szCs w:val="16"/>
              </w:rPr>
              <w:t>Monitor for use of IE modification by IPX and respond when unexpected IE modifications are seen.</w:t>
            </w:r>
          </w:p>
        </w:tc>
      </w:tr>
    </w:tbl>
    <w:p w:rsidRPr="009C2D05" w:rsidR="00595F29" w:rsidP="5986D52C" w:rsidRDefault="00595F29" w14:paraId="5B93BEEC" w14:textId="12FAEB4D">
      <w:pPr>
        <w:pStyle w:val="paragraph"/>
        <w:spacing w:before="0" w:beforeAutospacing="0" w:after="0" w:afterAutospacing="0"/>
        <w:rPr>
          <w:rFonts w:ascii="Arial" w:hAnsi="Arial" w:eastAsia="Arial" w:cs="Arial"/>
          <w:sz w:val="22"/>
          <w:szCs w:val="22"/>
        </w:rPr>
      </w:pPr>
    </w:p>
    <w:p w:rsidRPr="009C2D05" w:rsidR="00050DAF" w:rsidP="00050DAF" w:rsidRDefault="00050DAF" w14:paraId="4C7E46C7" w14:textId="5D1AD669">
      <w:pPr>
        <w:rPr>
          <w:rFonts w:ascii="Arial" w:hAnsi="Arial" w:eastAsia="Arial" w:cs="Arial"/>
        </w:rPr>
      </w:pPr>
      <w:r>
        <w:rPr>
          <w:rFonts w:ascii="Arial" w:hAnsi="Arial" w:eastAsia="Arial" w:cs="Arial"/>
        </w:rPr>
        <w:t>Post-Conditions</w:t>
      </w:r>
    </w:p>
    <w:tbl>
      <w:tblPr>
        <w:tblStyle w:val="TableGrid"/>
        <w:tblW w:w="9360" w:type="dxa"/>
        <w:tblLayout w:type="fixed"/>
        <w:tblLook w:val="04A0" w:firstRow="1" w:lastRow="0" w:firstColumn="1" w:lastColumn="0" w:noHBand="0" w:noVBand="1"/>
      </w:tblPr>
      <w:tblGrid>
        <w:gridCol w:w="4680"/>
        <w:gridCol w:w="4680"/>
      </w:tblGrid>
      <w:tr w:rsidRPr="009C2D05" w:rsidR="00050DAF" w:rsidTr="00710D9E" w14:paraId="0C045D97" w14:textId="77777777">
        <w:tc>
          <w:tcPr>
            <w:tcW w:w="4680" w:type="dxa"/>
          </w:tcPr>
          <w:p w:rsidRPr="009C2D05" w:rsidR="00050DAF" w:rsidP="00710D9E" w:rsidRDefault="00050DAF" w14:paraId="236E1F9B" w14:textId="77777777">
            <w:pPr>
              <w:rPr>
                <w:rFonts w:ascii="Arial" w:hAnsi="Arial" w:eastAsia="Arial" w:cs="Arial"/>
                <w:sz w:val="22"/>
                <w:szCs w:val="22"/>
              </w:rPr>
            </w:pPr>
            <w:r w:rsidRPr="009C2D05">
              <w:rPr>
                <w:rFonts w:ascii="Arial" w:hAnsi="Arial" w:eastAsia="Arial" w:cs="Arial"/>
                <w:b/>
                <w:bCs/>
                <w:sz w:val="22"/>
                <w:szCs w:val="22"/>
              </w:rPr>
              <w:t>Name</w:t>
            </w:r>
          </w:p>
        </w:tc>
        <w:tc>
          <w:tcPr>
            <w:tcW w:w="4680" w:type="dxa"/>
          </w:tcPr>
          <w:p w:rsidRPr="009C2D05" w:rsidR="00050DAF" w:rsidP="00710D9E" w:rsidRDefault="00050DAF" w14:paraId="52BF3295" w14:textId="77777777">
            <w:pPr>
              <w:rPr>
                <w:rFonts w:ascii="Arial" w:hAnsi="Arial" w:eastAsia="Arial" w:cs="Arial"/>
                <w:sz w:val="22"/>
                <w:szCs w:val="22"/>
              </w:rPr>
            </w:pPr>
            <w:r w:rsidRPr="009C2D05">
              <w:rPr>
                <w:rFonts w:ascii="Arial" w:hAnsi="Arial" w:eastAsia="Arial" w:cs="Arial"/>
                <w:b/>
                <w:bCs/>
                <w:sz w:val="22"/>
                <w:szCs w:val="22"/>
              </w:rPr>
              <w:t>Description</w:t>
            </w:r>
            <w:r w:rsidRPr="009C2D05">
              <w:rPr>
                <w:rFonts w:ascii="Arial" w:hAnsi="Arial" w:eastAsia="Arial" w:cs="Arial"/>
                <w:sz w:val="22"/>
                <w:szCs w:val="22"/>
              </w:rPr>
              <w:t> </w:t>
            </w:r>
          </w:p>
        </w:tc>
      </w:tr>
      <w:tr w:rsidRPr="009C2D05" w:rsidR="00050DAF" w:rsidTr="00710D9E" w14:paraId="0FC032A8" w14:textId="77777777">
        <w:tc>
          <w:tcPr>
            <w:tcW w:w="4680" w:type="dxa"/>
          </w:tcPr>
          <w:p w:rsidRPr="009C2D05" w:rsidR="00050DAF" w:rsidP="00710D9E" w:rsidRDefault="00050DAF" w14:paraId="1E872D12" w14:textId="77777777">
            <w:pPr>
              <w:spacing w:line="259" w:lineRule="auto"/>
              <w:rPr>
                <w:sz w:val="22"/>
                <w:szCs w:val="22"/>
              </w:rPr>
            </w:pPr>
            <w:r w:rsidRPr="009C2D05">
              <w:rPr>
                <w:rFonts w:ascii="Arial" w:hAnsi="Arial" w:eastAsia="Arial" w:cs="Arial"/>
                <w:sz w:val="16"/>
                <w:szCs w:val="16"/>
              </w:rPr>
              <w:t>If known</w:t>
            </w:r>
          </w:p>
        </w:tc>
        <w:tc>
          <w:tcPr>
            <w:tcW w:w="4680" w:type="dxa"/>
          </w:tcPr>
          <w:p w:rsidRPr="009C2D05" w:rsidR="00050DAF" w:rsidP="00710D9E" w:rsidRDefault="00050DAF" w14:paraId="42D8BC64" w14:textId="66218B3C">
            <w:pPr>
              <w:rPr>
                <w:rFonts w:ascii="Arial" w:hAnsi="Arial" w:eastAsia="Arial" w:cs="Arial"/>
                <w:sz w:val="16"/>
                <w:szCs w:val="16"/>
              </w:rPr>
            </w:pPr>
            <w:r w:rsidRPr="009C2D05">
              <w:rPr>
                <w:rFonts w:ascii="Arial" w:hAnsi="Arial" w:eastAsia="Arial" w:cs="Arial"/>
                <w:sz w:val="16"/>
                <w:szCs w:val="16"/>
              </w:rPr>
              <w:t xml:space="preserve">Short description of </w:t>
            </w:r>
            <w:r w:rsidR="008C47D0">
              <w:rPr>
                <w:rFonts w:ascii="Arial" w:hAnsi="Arial" w:eastAsia="Arial" w:cs="Arial"/>
                <w:sz w:val="16"/>
                <w:szCs w:val="16"/>
              </w:rPr>
              <w:t xml:space="preserve">potential </w:t>
            </w:r>
            <w:r w:rsidR="00012812">
              <w:rPr>
                <w:rFonts w:ascii="Arial" w:hAnsi="Arial" w:eastAsia="Arial" w:cs="Arial"/>
                <w:sz w:val="16"/>
                <w:szCs w:val="16"/>
              </w:rPr>
              <w:t xml:space="preserve">capabilities achieved </w:t>
            </w:r>
            <w:r w:rsidR="00DF00DF">
              <w:rPr>
                <w:rFonts w:ascii="Arial" w:hAnsi="Arial" w:eastAsia="Arial" w:cs="Arial"/>
                <w:sz w:val="16"/>
                <w:szCs w:val="16"/>
              </w:rPr>
              <w:t>b</w:t>
            </w:r>
            <w:r w:rsidR="002F3081">
              <w:rPr>
                <w:rFonts w:ascii="Arial" w:hAnsi="Arial" w:eastAsia="Arial" w:cs="Arial"/>
                <w:sz w:val="16"/>
                <w:szCs w:val="16"/>
              </w:rPr>
              <w:t>y the technique (e.g. escape from container gives control of the host)</w:t>
            </w:r>
          </w:p>
        </w:tc>
      </w:tr>
    </w:tbl>
    <w:p w:rsidRPr="009C2D05" w:rsidR="00050DAF" w:rsidP="00050DAF" w:rsidRDefault="00050DAF" w14:paraId="5B6400D7" w14:textId="77777777">
      <w:pPr>
        <w:pStyle w:val="paragraph"/>
        <w:spacing w:before="0" w:beforeAutospacing="0" w:after="0" w:afterAutospacing="0"/>
        <w:rPr>
          <w:rFonts w:ascii="Arial" w:hAnsi="Arial" w:eastAsia="Arial" w:cs="Arial"/>
          <w:sz w:val="22"/>
          <w:szCs w:val="22"/>
        </w:rPr>
      </w:pPr>
    </w:p>
    <w:p w:rsidR="00611646" w:rsidP="00611646" w:rsidRDefault="00611646" w14:paraId="5AF7930C" w14:textId="77777777">
      <w:pPr>
        <w:rPr>
          <w:rFonts w:asciiTheme="minorBidi" w:hAnsiTheme="minorBidi"/>
        </w:rPr>
      </w:pPr>
      <w:r w:rsidRPr="009C2D05">
        <w:rPr>
          <w:rFonts w:ascii="Arial" w:hAnsi="Arial" w:eastAsia="Arial" w:cs="Arial"/>
        </w:rPr>
        <w:t xml:space="preserve">References: </w:t>
      </w:r>
    </w:p>
    <w:tbl>
      <w:tblPr>
        <w:tblStyle w:val="TableGrid"/>
        <w:tblW w:w="0" w:type="auto"/>
        <w:tblLook w:val="04A0" w:firstRow="1" w:lastRow="0" w:firstColumn="1" w:lastColumn="0" w:noHBand="0" w:noVBand="1"/>
      </w:tblPr>
      <w:tblGrid>
        <w:gridCol w:w="4515"/>
        <w:gridCol w:w="4835"/>
      </w:tblGrid>
      <w:tr w:rsidR="00611646" w:rsidTr="008333B6" w14:paraId="3CDCACDA" w14:textId="77777777">
        <w:tc>
          <w:tcPr>
            <w:tcW w:w="4515" w:type="dxa"/>
          </w:tcPr>
          <w:p w:rsidRPr="00351110" w:rsidR="00611646" w:rsidP="000928B9" w:rsidRDefault="00611646" w14:paraId="66D10A80" w14:textId="77777777">
            <w:pPr>
              <w:rPr>
                <w:b/>
                <w:bCs/>
                <w:sz w:val="22"/>
                <w:szCs w:val="22"/>
              </w:rPr>
            </w:pPr>
            <w:r w:rsidRPr="00351110">
              <w:rPr>
                <w:b/>
                <w:bCs/>
                <w:sz w:val="22"/>
                <w:szCs w:val="22"/>
              </w:rPr>
              <w:t>Name</w:t>
            </w:r>
          </w:p>
        </w:tc>
        <w:tc>
          <w:tcPr>
            <w:tcW w:w="4835" w:type="dxa"/>
          </w:tcPr>
          <w:p w:rsidRPr="00351110" w:rsidR="00611646" w:rsidP="000928B9" w:rsidRDefault="00611646" w14:paraId="7C8CB3DA" w14:textId="77777777">
            <w:pPr>
              <w:rPr>
                <w:b/>
                <w:bCs/>
                <w:sz w:val="22"/>
                <w:szCs w:val="22"/>
              </w:rPr>
            </w:pPr>
            <w:r w:rsidRPr="00351110">
              <w:rPr>
                <w:b/>
                <w:bCs/>
                <w:sz w:val="22"/>
                <w:szCs w:val="22"/>
              </w:rPr>
              <w:t>URL</w:t>
            </w:r>
          </w:p>
        </w:tc>
      </w:tr>
      <w:tr w:rsidR="00363E65" w:rsidTr="008333B6" w14:paraId="3E25A27B" w14:textId="77777777">
        <w:tc>
          <w:tcPr>
            <w:tcW w:w="4515" w:type="dxa"/>
          </w:tcPr>
          <w:p w:rsidRPr="00901872" w:rsidR="00363E65" w:rsidP="002F656B" w:rsidRDefault="00363E65" w14:paraId="78E00E5E" w14:textId="78468D99">
            <w:pPr>
              <w:rPr>
                <w:rFonts w:ascii="Arial" w:hAnsi="Arial" w:cs="Arial"/>
                <w:sz w:val="16"/>
                <w:szCs w:val="16"/>
              </w:rPr>
            </w:pPr>
            <w:r w:rsidRPr="00901872">
              <w:rPr>
                <w:rFonts w:ascii="Arial" w:hAnsi="Arial" w:cs="Arial"/>
                <w:sz w:val="16"/>
                <w:szCs w:val="16"/>
              </w:rPr>
              <w:t>S.P. Rao, S. Holtmanns, T. Aura: “Threat modeling framework for mobile communication systems”, May 2020</w:t>
            </w:r>
          </w:p>
        </w:tc>
        <w:tc>
          <w:tcPr>
            <w:tcW w:w="4835" w:type="dxa"/>
          </w:tcPr>
          <w:p w:rsidRPr="00901872" w:rsidR="00363E65" w:rsidP="00363E65" w:rsidRDefault="00363E65" w14:paraId="469430EC" w14:textId="7D413551">
            <w:pPr>
              <w:rPr>
                <w:rFonts w:ascii="Arial" w:hAnsi="Arial" w:cs="Arial"/>
                <w:sz w:val="16"/>
                <w:szCs w:val="16"/>
              </w:rPr>
            </w:pPr>
            <w:r w:rsidRPr="00901872">
              <w:rPr>
                <w:rFonts w:ascii="Arial" w:hAnsi="Arial" w:cs="Arial"/>
                <w:sz w:val="16"/>
                <w:szCs w:val="16"/>
              </w:rPr>
              <w:t xml:space="preserve">https://arxiv.org/abs/2005.05110v1 </w:t>
            </w:r>
          </w:p>
        </w:tc>
      </w:tr>
      <w:tr w:rsidR="00363E65" w:rsidTr="008333B6" w14:paraId="1F693E0C" w14:textId="77777777">
        <w:tc>
          <w:tcPr>
            <w:tcW w:w="4515" w:type="dxa"/>
          </w:tcPr>
          <w:p w:rsidRPr="00901872" w:rsidR="00363E65" w:rsidP="002F656B" w:rsidRDefault="00F42469" w14:paraId="06DB7669" w14:textId="358408DA">
            <w:pPr>
              <w:rPr>
                <w:rFonts w:ascii="Arial" w:hAnsi="Arial" w:cs="Arial"/>
                <w:sz w:val="16"/>
                <w:szCs w:val="16"/>
              </w:rPr>
            </w:pPr>
            <w:r w:rsidRPr="00901872">
              <w:rPr>
                <w:rFonts w:ascii="Arial" w:hAnsi="Arial" w:cs="Arial"/>
                <w:sz w:val="16"/>
                <w:szCs w:val="16"/>
              </w:rPr>
              <w:t>“</w:t>
            </w:r>
            <w:r w:rsidRPr="00901872">
              <w:rPr>
                <w:rFonts w:ascii="Arial" w:hAnsi="Arial" w:cs="Arial"/>
                <w:color w:val="000000"/>
                <w:sz w:val="16"/>
                <w:szCs w:val="16"/>
              </w:rPr>
              <w:t>Security Assurance Specification (SCAS) threats and critical assets in 3GPP network product classes,” 3</w:t>
            </w:r>
            <w:r w:rsidRPr="00901872" w:rsidR="001A0D01">
              <w:rPr>
                <w:rFonts w:ascii="Arial" w:hAnsi="Arial" w:cs="Arial"/>
                <w:color w:val="000000"/>
                <w:sz w:val="16"/>
                <w:szCs w:val="16"/>
                <w:vertAlign w:val="superscript"/>
              </w:rPr>
              <w:t>rd</w:t>
            </w:r>
            <w:r w:rsidRPr="00901872" w:rsidR="001A0D01">
              <w:rPr>
                <w:rFonts w:ascii="Arial" w:hAnsi="Arial" w:cs="Arial"/>
                <w:color w:val="000000"/>
                <w:sz w:val="16"/>
                <w:szCs w:val="16"/>
              </w:rPr>
              <w:t xml:space="preserve"> Generation Partnership Project (3GPP), TR 33.92</w:t>
            </w:r>
            <w:r w:rsidRPr="00901872" w:rsidR="0050090F">
              <w:rPr>
                <w:rFonts w:ascii="Arial" w:hAnsi="Arial" w:cs="Arial"/>
                <w:color w:val="000000"/>
                <w:sz w:val="16"/>
                <w:szCs w:val="16"/>
              </w:rPr>
              <w:t>6 ver.17.3.0, Dec. 2021, sec. G.2.4.1-G.2.4.2</w:t>
            </w:r>
          </w:p>
        </w:tc>
        <w:tc>
          <w:tcPr>
            <w:tcW w:w="4835" w:type="dxa"/>
          </w:tcPr>
          <w:p w:rsidRPr="00901872" w:rsidR="00363E65" w:rsidP="00363E65" w:rsidRDefault="00D3360E" w14:paraId="2C5A4DD9" w14:textId="2DD0EFF0">
            <w:pPr>
              <w:rPr>
                <w:rFonts w:ascii="Arial" w:hAnsi="Arial" w:cs="Arial"/>
                <w:sz w:val="16"/>
                <w:szCs w:val="16"/>
              </w:rPr>
            </w:pPr>
            <w:r w:rsidRPr="00901872">
              <w:rPr>
                <w:rFonts w:ascii="Arial" w:hAnsi="Arial" w:cs="Arial"/>
                <w:sz w:val="16"/>
                <w:szCs w:val="16"/>
              </w:rPr>
              <w:t>https://www.3gpp.org/DynaReport/33926.htm</w:t>
            </w:r>
          </w:p>
        </w:tc>
      </w:tr>
      <w:tr w:rsidR="00D3360E" w:rsidTr="008333B6" w14:paraId="2D224910" w14:textId="77777777">
        <w:tc>
          <w:tcPr>
            <w:tcW w:w="4515" w:type="dxa"/>
          </w:tcPr>
          <w:p w:rsidRPr="00901872" w:rsidR="00D3360E" w:rsidP="002F656B" w:rsidRDefault="00A145B9" w14:paraId="7E9B79D8" w14:textId="01EBFEA6">
            <w:pPr>
              <w:rPr>
                <w:rFonts w:ascii="Arial" w:hAnsi="Arial" w:cs="Arial"/>
                <w:sz w:val="16"/>
                <w:szCs w:val="16"/>
              </w:rPr>
            </w:pPr>
            <w:r w:rsidRPr="00901872">
              <w:rPr>
                <w:rFonts w:ascii="Arial" w:hAnsi="Arial" w:cs="Arial"/>
                <w:sz w:val="16"/>
                <w:szCs w:val="16"/>
              </w:rPr>
              <w:t>G. Green</w:t>
            </w:r>
            <w:r w:rsidRPr="00901872" w:rsidR="00F52508">
              <w:rPr>
                <w:rFonts w:ascii="Arial" w:hAnsi="Arial" w:cs="Arial"/>
                <w:sz w:val="16"/>
                <w:szCs w:val="16"/>
              </w:rPr>
              <w:t xml:space="preserve">, </w:t>
            </w:r>
            <w:r w:rsidRPr="00901872" w:rsidR="0020587D">
              <w:rPr>
                <w:rFonts w:ascii="Arial" w:hAnsi="Arial" w:cs="Arial"/>
                <w:sz w:val="16"/>
                <w:szCs w:val="16"/>
              </w:rPr>
              <w:t xml:space="preserve">“5G Security when Roaming </w:t>
            </w:r>
            <w:r w:rsidRPr="00901872" w:rsidR="00074D64">
              <w:rPr>
                <w:rFonts w:ascii="Arial" w:hAnsi="Arial" w:cs="Arial"/>
                <w:sz w:val="16"/>
                <w:szCs w:val="16"/>
              </w:rPr>
              <w:t xml:space="preserve">– Part 2,” </w:t>
            </w:r>
            <w:proofErr w:type="spellStart"/>
            <w:r w:rsidRPr="00901872" w:rsidR="00074D64">
              <w:rPr>
                <w:rFonts w:ascii="Arial" w:hAnsi="Arial" w:cs="Arial"/>
                <w:sz w:val="16"/>
                <w:szCs w:val="16"/>
              </w:rPr>
              <w:t>Mpirical</w:t>
            </w:r>
            <w:proofErr w:type="spellEnd"/>
            <w:r w:rsidRPr="00901872" w:rsidR="00074D64">
              <w:rPr>
                <w:rFonts w:ascii="Arial" w:hAnsi="Arial" w:cs="Arial"/>
                <w:sz w:val="16"/>
                <w:szCs w:val="16"/>
              </w:rPr>
              <w:t xml:space="preserve">, </w:t>
            </w:r>
            <w:r w:rsidRPr="00901872" w:rsidR="00542157">
              <w:rPr>
                <w:rFonts w:ascii="Arial" w:hAnsi="Arial" w:cs="Arial"/>
                <w:sz w:val="16"/>
                <w:szCs w:val="16"/>
              </w:rPr>
              <w:t xml:space="preserve">Lancaster, UK, </w:t>
            </w:r>
            <w:r w:rsidRPr="00901872" w:rsidR="007F281D">
              <w:rPr>
                <w:rFonts w:ascii="Arial" w:hAnsi="Arial" w:cs="Arial"/>
                <w:sz w:val="16"/>
                <w:szCs w:val="16"/>
              </w:rPr>
              <w:t>May 21, 2021</w:t>
            </w:r>
          </w:p>
        </w:tc>
        <w:tc>
          <w:tcPr>
            <w:tcW w:w="4835" w:type="dxa"/>
          </w:tcPr>
          <w:p w:rsidRPr="00901872" w:rsidR="00D3360E" w:rsidP="00363E65" w:rsidRDefault="00D3360E" w14:paraId="2D9E4DFA" w14:textId="122AF45F">
            <w:pPr>
              <w:rPr>
                <w:rFonts w:ascii="Arial" w:hAnsi="Arial" w:cs="Arial"/>
                <w:sz w:val="16"/>
                <w:szCs w:val="16"/>
              </w:rPr>
            </w:pPr>
            <w:r w:rsidRPr="00901872">
              <w:rPr>
                <w:rFonts w:ascii="Arial" w:hAnsi="Arial" w:cs="Arial"/>
                <w:sz w:val="16"/>
                <w:szCs w:val="16"/>
              </w:rPr>
              <w:t>https://www.mpirical.com/blog/5g-security-when-roaming-part-2</w:t>
            </w:r>
          </w:p>
        </w:tc>
      </w:tr>
      <w:tr w:rsidR="00CD7E59" w:rsidTr="008333B6" w14:paraId="193B5620" w14:textId="77777777">
        <w:tc>
          <w:tcPr>
            <w:tcW w:w="4515" w:type="dxa"/>
          </w:tcPr>
          <w:p w:rsidRPr="00901872" w:rsidR="00CD7E59" w:rsidP="002F656B" w:rsidRDefault="00591FE4" w14:paraId="1646F78A" w14:textId="0BB4067A">
            <w:pPr>
              <w:rPr>
                <w:rFonts w:ascii="Arial" w:hAnsi="Arial" w:cs="Arial"/>
                <w:sz w:val="16"/>
                <w:szCs w:val="16"/>
              </w:rPr>
            </w:pPr>
            <w:r w:rsidRPr="00901872">
              <w:rPr>
                <w:rFonts w:ascii="Arial" w:hAnsi="Arial" w:cs="Arial"/>
                <w:sz w:val="16"/>
                <w:szCs w:val="16"/>
              </w:rPr>
              <w:t xml:space="preserve">“Security architecture and procedures for 5G System,” </w:t>
            </w:r>
            <w:r w:rsidRPr="00901872" w:rsidR="00EF435F">
              <w:rPr>
                <w:rFonts w:ascii="Arial" w:hAnsi="Arial" w:cs="Arial"/>
                <w:sz w:val="16"/>
                <w:szCs w:val="16"/>
              </w:rPr>
              <w:t>3GPP, TS 33.501 ver.</w:t>
            </w:r>
            <w:r w:rsidRPr="00901872" w:rsidR="002244A8">
              <w:rPr>
                <w:rFonts w:ascii="Arial" w:hAnsi="Arial" w:cs="Arial"/>
                <w:sz w:val="16"/>
                <w:szCs w:val="16"/>
              </w:rPr>
              <w:t xml:space="preserve"> 16.3.0</w:t>
            </w:r>
            <w:r w:rsidRPr="00901872" w:rsidR="00A94966">
              <w:rPr>
                <w:rFonts w:ascii="Arial" w:hAnsi="Arial" w:cs="Arial"/>
                <w:sz w:val="16"/>
                <w:szCs w:val="16"/>
              </w:rPr>
              <w:t>, July 2020</w:t>
            </w:r>
            <w:r w:rsidRPr="00901872" w:rsidR="002244A8">
              <w:rPr>
                <w:rFonts w:ascii="Arial" w:hAnsi="Arial" w:cs="Arial"/>
                <w:sz w:val="16"/>
                <w:szCs w:val="16"/>
              </w:rPr>
              <w:t xml:space="preserve">, Sec. </w:t>
            </w:r>
            <w:r w:rsidRPr="00901872" w:rsidR="0096408C">
              <w:rPr>
                <w:rFonts w:ascii="Arial" w:hAnsi="Arial" w:cs="Arial"/>
                <w:sz w:val="16"/>
                <w:szCs w:val="16"/>
              </w:rPr>
              <w:t>13.1.2,</w:t>
            </w:r>
            <w:r w:rsidRPr="00901872" w:rsidR="002244A8">
              <w:rPr>
                <w:rFonts w:ascii="Arial" w:hAnsi="Arial" w:cs="Arial"/>
                <w:sz w:val="16"/>
                <w:szCs w:val="16"/>
              </w:rPr>
              <w:t>13.2</w:t>
            </w:r>
          </w:p>
        </w:tc>
        <w:tc>
          <w:tcPr>
            <w:tcW w:w="4835" w:type="dxa"/>
          </w:tcPr>
          <w:p w:rsidRPr="00901872" w:rsidR="00CD7E59" w:rsidP="00363E65" w:rsidRDefault="001D7738" w14:paraId="3B9333E9" w14:textId="3D6D20CB">
            <w:pPr>
              <w:rPr>
                <w:rFonts w:ascii="Arial" w:hAnsi="Arial" w:cs="Arial"/>
                <w:sz w:val="16"/>
                <w:szCs w:val="16"/>
              </w:rPr>
            </w:pPr>
            <w:r w:rsidRPr="00901872">
              <w:rPr>
                <w:rFonts w:ascii="Arial" w:hAnsi="Arial" w:cs="Arial"/>
                <w:sz w:val="16"/>
                <w:szCs w:val="16"/>
              </w:rPr>
              <w:t>https://www.3gpp.org/DynaReport/33501.htm</w:t>
            </w:r>
          </w:p>
        </w:tc>
      </w:tr>
      <w:tr w:rsidR="008333B6" w:rsidTr="008333B6" w14:paraId="15695B0C" w14:textId="77777777">
        <w:tc>
          <w:tcPr>
            <w:tcW w:w="4515" w:type="dxa"/>
          </w:tcPr>
          <w:p w:rsidRPr="00901872" w:rsidR="008333B6" w:rsidP="002F656B" w:rsidRDefault="008333B6" w14:paraId="7643902F" w14:textId="703637E5">
            <w:pPr>
              <w:rPr>
                <w:rFonts w:ascii="Arial" w:hAnsi="Arial" w:cs="Arial"/>
                <w:sz w:val="16"/>
                <w:szCs w:val="16"/>
              </w:rPr>
            </w:pPr>
            <w:r w:rsidRPr="00901872">
              <w:rPr>
                <w:rFonts w:ascii="Arial" w:hAnsi="Arial" w:cs="Arial"/>
                <w:sz w:val="16"/>
                <w:szCs w:val="16"/>
              </w:rPr>
              <w:t xml:space="preserve">“5G </w:t>
            </w:r>
            <w:r w:rsidRPr="00901872">
              <w:rPr>
                <w:rFonts w:ascii="Arial" w:hAnsi="Arial" w:cs="Arial"/>
                <w:color w:val="000000"/>
                <w:sz w:val="16"/>
                <w:szCs w:val="16"/>
              </w:rPr>
              <w:t>System; Public Land Mobile Network (PLMN) Interconnection; Stage 3,” 3GPP, TS 29.573 ver.16.9.0, March 2022</w:t>
            </w:r>
          </w:p>
        </w:tc>
        <w:tc>
          <w:tcPr>
            <w:tcW w:w="4835" w:type="dxa"/>
          </w:tcPr>
          <w:p w:rsidRPr="00901872" w:rsidR="008333B6" w:rsidP="008333B6" w:rsidRDefault="008333B6" w14:paraId="18FF4E3E" w14:textId="30339A55">
            <w:pPr>
              <w:rPr>
                <w:rFonts w:ascii="Arial" w:hAnsi="Arial" w:cs="Arial"/>
                <w:sz w:val="16"/>
                <w:szCs w:val="16"/>
              </w:rPr>
            </w:pPr>
            <w:r w:rsidRPr="00901872">
              <w:rPr>
                <w:rFonts w:ascii="Arial" w:hAnsi="Arial" w:cs="Arial"/>
                <w:sz w:val="16"/>
                <w:szCs w:val="16"/>
              </w:rPr>
              <w:t>https://www.3gpp.org/DynaReport/29573.htm</w:t>
            </w:r>
          </w:p>
        </w:tc>
      </w:tr>
      <w:tr w:rsidR="000B7A56" w:rsidTr="008333B6" w14:paraId="72BA23D6" w14:textId="77777777">
        <w:tc>
          <w:tcPr>
            <w:tcW w:w="4515" w:type="dxa"/>
          </w:tcPr>
          <w:p w:rsidRPr="00901872" w:rsidR="000B7A56" w:rsidP="002F656B" w:rsidRDefault="000B7A56" w14:paraId="13C5F360" w14:textId="2EB194BB">
            <w:pPr>
              <w:rPr>
                <w:rFonts w:ascii="Arial" w:hAnsi="Arial" w:cs="Arial"/>
                <w:sz w:val="16"/>
                <w:szCs w:val="16"/>
              </w:rPr>
            </w:pPr>
            <w:proofErr w:type="spellStart"/>
            <w:r w:rsidRPr="00901872">
              <w:rPr>
                <w:rFonts w:ascii="Arial" w:hAnsi="Arial" w:cs="Arial"/>
                <w:sz w:val="16"/>
                <w:szCs w:val="16"/>
              </w:rPr>
              <w:t>P.Tommassen</w:t>
            </w:r>
            <w:proofErr w:type="spellEnd"/>
            <w:r w:rsidRPr="00901872">
              <w:rPr>
                <w:rFonts w:ascii="Arial" w:hAnsi="Arial" w:cs="Arial"/>
                <w:sz w:val="16"/>
                <w:szCs w:val="16"/>
              </w:rPr>
              <w:t xml:space="preserve">, “5G Security When Roaming,” </w:t>
            </w:r>
            <w:proofErr w:type="spellStart"/>
            <w:r w:rsidRPr="00901872">
              <w:rPr>
                <w:rFonts w:ascii="Arial" w:hAnsi="Arial" w:cs="Arial"/>
                <w:sz w:val="16"/>
                <w:szCs w:val="16"/>
              </w:rPr>
              <w:t>iBasis</w:t>
            </w:r>
            <w:proofErr w:type="spellEnd"/>
            <w:r w:rsidRPr="00901872">
              <w:rPr>
                <w:rFonts w:ascii="Arial" w:hAnsi="Arial" w:cs="Arial"/>
                <w:sz w:val="16"/>
                <w:szCs w:val="16"/>
              </w:rPr>
              <w:t>, October 6, 2020</w:t>
            </w:r>
          </w:p>
        </w:tc>
        <w:tc>
          <w:tcPr>
            <w:tcW w:w="4835" w:type="dxa"/>
          </w:tcPr>
          <w:p w:rsidRPr="00901872" w:rsidR="000B7A56" w:rsidP="008333B6" w:rsidRDefault="000B7A56" w14:paraId="2C1668AB" w14:textId="6ACC652F">
            <w:pPr>
              <w:rPr>
                <w:rFonts w:ascii="Arial" w:hAnsi="Arial" w:cs="Arial"/>
                <w:sz w:val="16"/>
                <w:szCs w:val="16"/>
              </w:rPr>
            </w:pPr>
            <w:r w:rsidRPr="00901872">
              <w:rPr>
                <w:rFonts w:ascii="Arial" w:hAnsi="Arial" w:cs="Arial"/>
                <w:sz w:val="16"/>
                <w:szCs w:val="16"/>
              </w:rPr>
              <w:t>https://ibasis.com/5g-security-when-roaming/</w:t>
            </w:r>
          </w:p>
        </w:tc>
      </w:tr>
    </w:tbl>
    <w:p w:rsidR="00611646" w:rsidP="00611646" w:rsidRDefault="00611646" w14:paraId="44D70CDE" w14:textId="77777777">
      <w:pPr>
        <w:rPr>
          <w:sz w:val="22"/>
          <w:szCs w:val="22"/>
        </w:rPr>
      </w:pPr>
    </w:p>
    <w:p w:rsidR="00611646" w:rsidP="00611646" w:rsidRDefault="00611646" w14:paraId="091585BB" w14:textId="77777777">
      <w:pPr>
        <w:rPr>
          <w:sz w:val="22"/>
          <w:szCs w:val="22"/>
        </w:rPr>
      </w:pPr>
      <w:r>
        <w:rPr>
          <w:sz w:val="22"/>
          <w:szCs w:val="22"/>
        </w:rPr>
        <w:t>#doNotParse</w:t>
      </w:r>
    </w:p>
    <w:p w:rsidR="003D5CC2" w:rsidP="00611646" w:rsidRDefault="003D5CC2" w14:paraId="25ACE1FA" w14:textId="77777777">
      <w:pPr>
        <w:rPr>
          <w:sz w:val="22"/>
          <w:szCs w:val="22"/>
        </w:rPr>
      </w:pPr>
    </w:p>
    <w:p w:rsidR="003D5CC2" w:rsidP="00611646" w:rsidRDefault="003D5CC2" w14:paraId="0B899B08" w14:textId="5ED234F9">
      <w:pPr>
        <w:rPr>
          <w:sz w:val="22"/>
          <w:szCs w:val="22"/>
        </w:rPr>
      </w:pPr>
      <w:r>
        <w:rPr>
          <w:sz w:val="22"/>
          <w:szCs w:val="22"/>
        </w:rPr>
        <w:t>Ideally, work out the specific information the adversary could obtain and the fraud aspects they could perform and show in the details.</w:t>
      </w:r>
    </w:p>
    <w:p w:rsidR="00D84FEB" w:rsidP="00611646" w:rsidRDefault="00D84FEB" w14:paraId="7BF39595" w14:textId="77777777">
      <w:pPr>
        <w:rPr>
          <w:sz w:val="22"/>
          <w:szCs w:val="22"/>
        </w:rPr>
      </w:pPr>
    </w:p>
    <w:p w:rsidR="00D84FEB" w:rsidP="00611646" w:rsidRDefault="00D84FEB" w14:paraId="3CA54EF0" w14:textId="50CB3BED">
      <w:pPr>
        <w:rPr>
          <w:sz w:val="22"/>
          <w:szCs w:val="22"/>
        </w:rPr>
      </w:pPr>
      <w:r>
        <w:rPr>
          <w:sz w:val="22"/>
          <w:szCs w:val="22"/>
        </w:rPr>
        <w:t xml:space="preserve">If the adversary owning the </w:t>
      </w:r>
      <w:proofErr w:type="spellStart"/>
      <w:r>
        <w:rPr>
          <w:sz w:val="22"/>
          <w:szCs w:val="22"/>
        </w:rPr>
        <w:t>vSEPP</w:t>
      </w:r>
      <w:proofErr w:type="spellEnd"/>
      <w:r>
        <w:rPr>
          <w:sz w:val="22"/>
          <w:szCs w:val="22"/>
        </w:rPr>
        <w:t xml:space="preserve"> acts as </w:t>
      </w:r>
      <w:proofErr w:type="gramStart"/>
      <w:r>
        <w:rPr>
          <w:sz w:val="22"/>
          <w:szCs w:val="22"/>
        </w:rPr>
        <w:t>a</w:t>
      </w:r>
      <w:proofErr w:type="gramEnd"/>
      <w:r>
        <w:rPr>
          <w:sz w:val="22"/>
          <w:szCs w:val="22"/>
        </w:rPr>
        <w:t xml:space="preserve"> </w:t>
      </w:r>
      <w:proofErr w:type="spellStart"/>
      <w:r>
        <w:rPr>
          <w:sz w:val="22"/>
          <w:szCs w:val="22"/>
        </w:rPr>
        <w:t>aitm</w:t>
      </w:r>
      <w:proofErr w:type="spellEnd"/>
      <w:r>
        <w:rPr>
          <w:sz w:val="22"/>
          <w:szCs w:val="22"/>
        </w:rPr>
        <w:t xml:space="preserve"> and terminates the TLS session of the </w:t>
      </w:r>
      <w:proofErr w:type="spellStart"/>
      <w:r>
        <w:rPr>
          <w:sz w:val="22"/>
          <w:szCs w:val="22"/>
        </w:rPr>
        <w:t>vPLMN</w:t>
      </w:r>
      <w:proofErr w:type="spellEnd"/>
      <w:r>
        <w:rPr>
          <w:sz w:val="22"/>
          <w:szCs w:val="22"/>
        </w:rPr>
        <w:t xml:space="preserve"> NF sending requests to the </w:t>
      </w:r>
      <w:proofErr w:type="spellStart"/>
      <w:r>
        <w:rPr>
          <w:sz w:val="22"/>
          <w:szCs w:val="22"/>
        </w:rPr>
        <w:t>hPLMN</w:t>
      </w:r>
      <w:proofErr w:type="spellEnd"/>
      <w:r>
        <w:rPr>
          <w:sz w:val="22"/>
          <w:szCs w:val="22"/>
        </w:rPr>
        <w:t xml:space="preserve"> NF, the </w:t>
      </w:r>
      <w:proofErr w:type="spellStart"/>
      <w:r>
        <w:rPr>
          <w:sz w:val="22"/>
          <w:szCs w:val="22"/>
        </w:rPr>
        <w:t>vSEPP</w:t>
      </w:r>
      <w:proofErr w:type="spellEnd"/>
      <w:r>
        <w:rPr>
          <w:sz w:val="22"/>
          <w:szCs w:val="22"/>
        </w:rPr>
        <w:t xml:space="preserve"> most likely wants to provide a legitimate looking function  </w:t>
      </w:r>
      <w:r w:rsidR="00303317">
        <w:rPr>
          <w:sz w:val="22"/>
          <w:szCs w:val="22"/>
        </w:rPr>
        <w:t xml:space="preserve">response to the requesting NF to avoid possible detection.  There are scenarios where the exact response from the </w:t>
      </w:r>
      <w:proofErr w:type="spellStart"/>
      <w:r w:rsidR="00303317">
        <w:rPr>
          <w:sz w:val="22"/>
          <w:szCs w:val="22"/>
        </w:rPr>
        <w:t>hPLMN</w:t>
      </w:r>
      <w:proofErr w:type="spellEnd"/>
      <w:r w:rsidR="00303317">
        <w:rPr>
          <w:sz w:val="22"/>
          <w:szCs w:val="22"/>
        </w:rPr>
        <w:t xml:space="preserve"> is </w:t>
      </w:r>
      <w:proofErr w:type="gramStart"/>
      <w:r w:rsidR="00303317">
        <w:rPr>
          <w:sz w:val="22"/>
          <w:szCs w:val="22"/>
        </w:rPr>
        <w:t>good</w:t>
      </w:r>
      <w:proofErr w:type="gramEnd"/>
      <w:r w:rsidR="00303317">
        <w:rPr>
          <w:sz w:val="22"/>
          <w:szCs w:val="22"/>
        </w:rPr>
        <w:t xml:space="preserve"> but scenarios also exists where the adversary may want to modify the response or potentially deny it entirely.  There may be additional techniques or sub-techniques involves, e.g. FGT 5029, AITM, etc.</w:t>
      </w:r>
    </w:p>
    <w:p w:rsidR="0068691A" w:rsidP="0068691A" w:rsidRDefault="0068691A" w14:paraId="00CFF698" w14:textId="77777777">
      <w:pPr>
        <w:pStyle w:val="Heading3"/>
      </w:pPr>
      <w:bookmarkStart w:name="_Toc19634845" w:id="25"/>
      <w:bookmarkStart w:name="_Toc26875911" w:id="26"/>
      <w:bookmarkStart w:name="_Toc35528678" w:id="27"/>
      <w:bookmarkStart w:name="_Toc35533439" w:id="28"/>
      <w:bookmarkStart w:name="_Toc45028792" w:id="29"/>
      <w:bookmarkStart w:name="_Toc45274457" w:id="30"/>
      <w:bookmarkStart w:name="_Toc45275044" w:id="31"/>
      <w:bookmarkStart w:name="_Toc51168301" w:id="32"/>
      <w:bookmarkStart w:name="_Toc98839049" w:id="33"/>
      <w:r>
        <w:t>13.2.2</w:t>
      </w:r>
      <w:r>
        <w:tab/>
      </w:r>
      <w:r>
        <w:t>N32-c connection between SEPPs</w:t>
      </w:r>
      <w:bookmarkEnd w:id="25"/>
      <w:bookmarkEnd w:id="26"/>
      <w:bookmarkEnd w:id="27"/>
      <w:bookmarkEnd w:id="28"/>
      <w:bookmarkEnd w:id="29"/>
      <w:bookmarkEnd w:id="30"/>
      <w:bookmarkEnd w:id="31"/>
      <w:bookmarkEnd w:id="32"/>
      <w:bookmarkEnd w:id="33"/>
    </w:p>
    <w:p w:rsidR="0068691A" w:rsidP="0068691A" w:rsidRDefault="0068691A" w14:paraId="4533DED7" w14:textId="77777777">
      <w:pPr>
        <w:pStyle w:val="Heading4"/>
      </w:pPr>
      <w:bookmarkStart w:name="_Toc19634846" w:id="34"/>
      <w:bookmarkStart w:name="_Toc26875912" w:id="35"/>
      <w:bookmarkStart w:name="_Toc35528679" w:id="36"/>
      <w:bookmarkStart w:name="_Toc35533440" w:id="37"/>
      <w:bookmarkStart w:name="_Toc45028793" w:id="38"/>
      <w:bookmarkStart w:name="_Toc45274458" w:id="39"/>
      <w:bookmarkStart w:name="_Toc45275045" w:id="40"/>
      <w:bookmarkStart w:name="_Toc51168302" w:id="41"/>
      <w:bookmarkStart w:name="_Toc98839050" w:id="42"/>
      <w:r>
        <w:t>13.2.2.1</w:t>
      </w:r>
      <w:r>
        <w:tab/>
      </w:r>
      <w:r>
        <w:t>General</w:t>
      </w:r>
      <w:bookmarkEnd w:id="34"/>
      <w:bookmarkEnd w:id="35"/>
      <w:bookmarkEnd w:id="36"/>
      <w:bookmarkEnd w:id="37"/>
      <w:bookmarkEnd w:id="38"/>
      <w:bookmarkEnd w:id="39"/>
      <w:bookmarkEnd w:id="40"/>
      <w:bookmarkEnd w:id="41"/>
      <w:bookmarkEnd w:id="42"/>
    </w:p>
    <w:p w:rsidR="0068691A" w:rsidP="0068691A" w:rsidRDefault="0068691A" w14:paraId="71F8ABBB" w14:textId="77777777">
      <w:r>
        <w:t>When the negotiated security mechanism to use over N32,</w:t>
      </w:r>
      <w:r w:rsidRPr="00A03BCD">
        <w:t xml:space="preserve"> </w:t>
      </w:r>
      <w:r>
        <w:t>according to the procedure in clause 13.5, is PRINS (described in clause 13.2), the SEPPs use the established TLS connection (henceforth referred to as N32-c connection) to negotiate the N32-f specific associated security configuration parameters required to enforce application layer security on HTTP messages exchanged between the SEPPs. A second N32-c connection is established by the receiving SEPP to enable it to not only receive but also send HTTP</w:t>
      </w:r>
      <w:r w:rsidRPr="00A03BCD">
        <w:t xml:space="preserve"> </w:t>
      </w:r>
      <w:r>
        <w:t>Requests.</w:t>
      </w:r>
    </w:p>
    <w:p w:rsidR="0068691A" w:rsidP="0068691A" w:rsidRDefault="0068691A" w14:paraId="6BE11121" w14:textId="77777777">
      <w:r>
        <w:t>The N32-c connection is used for the following purposes:</w:t>
      </w:r>
    </w:p>
    <w:p w:rsidR="0068691A" w:rsidP="0068691A" w:rsidRDefault="0068691A" w14:paraId="345B03EB" w14:textId="77777777">
      <w:pPr>
        <w:pStyle w:val="B1"/>
      </w:pPr>
      <w:r>
        <w:t>-</w:t>
      </w:r>
      <w:r>
        <w:tab/>
      </w:r>
      <w:r>
        <w:t xml:space="preserve">Key agreement: The SEPPs independently export keying material associated with the first N32-c connection between them and use it as the pre-shared key for generating the shared session key required. </w:t>
      </w:r>
    </w:p>
    <w:p w:rsidR="0068691A" w:rsidP="0068691A" w:rsidRDefault="0068691A" w14:paraId="22B21BA0" w14:textId="77777777">
      <w:pPr>
        <w:pStyle w:val="B1"/>
      </w:pPr>
      <w:r>
        <w:t>-</w:t>
      </w:r>
      <w:r>
        <w:tab/>
      </w:r>
      <w:r>
        <w:t xml:space="preserve">Parameter </w:t>
      </w:r>
      <w:r w:rsidRPr="006548CE">
        <w:t>exchange</w:t>
      </w:r>
      <w:r>
        <w:t xml:space="preserve">: The SEPPs exchange security related configuration parameters that they need to protect HTTP messages exchanged between the two Network Functions (NF) in their respective networks. </w:t>
      </w:r>
    </w:p>
    <w:p w:rsidR="0068691A" w:rsidP="0068691A" w:rsidRDefault="0068691A" w14:paraId="25DA8705" w14:textId="77777777">
      <w:pPr>
        <w:pStyle w:val="B1"/>
      </w:pPr>
      <w:r>
        <w:t>-</w:t>
      </w:r>
      <w:r>
        <w:tab/>
      </w:r>
      <w:r>
        <w:t>Error handling: The receiving SEPP sends an error signalling message to the peer SEPP when it detects an error on the N32-f interface.</w:t>
      </w:r>
    </w:p>
    <w:p w:rsidR="0068691A" w:rsidP="0068691A" w:rsidRDefault="0068691A" w14:paraId="4B7A7FA4" w14:textId="77777777">
      <w:r>
        <w:t>The following security related configuration parameters may be exchanged between the two SEPPs:</w:t>
      </w:r>
    </w:p>
    <w:p w:rsidR="0068691A" w:rsidP="0068691A" w:rsidRDefault="0068691A" w14:paraId="357F9297" w14:textId="77777777">
      <w:pPr>
        <w:pStyle w:val="B1"/>
      </w:pPr>
      <w:r>
        <w:t>a.</w:t>
      </w:r>
      <w:r>
        <w:tab/>
      </w:r>
      <w:r>
        <w:t>Modification policy. A modification policy, as specified in clause 13.2.3.4, indicates which IEs can be modified by an IPX provider of the sending SEPP.</w:t>
      </w:r>
    </w:p>
    <w:p w:rsidR="0068691A" w:rsidP="0068691A" w:rsidRDefault="0068691A" w14:paraId="7A2786CA" w14:textId="77777777">
      <w:pPr>
        <w:pStyle w:val="B1"/>
      </w:pPr>
      <w:r>
        <w:t xml:space="preserve">b. </w:t>
      </w:r>
      <w:r>
        <w:tab/>
      </w:r>
      <w:r>
        <w:t>Data-type encryption policy. A data-type encryption policy, as specified in 13.2.3.2, indicates which types of data will be encrypted by the sending SEPP.</w:t>
      </w:r>
    </w:p>
    <w:p w:rsidR="0068691A" w:rsidP="0068691A" w:rsidRDefault="0068691A" w14:paraId="596AEEB7" w14:textId="77777777">
      <w:pPr>
        <w:pStyle w:val="B1"/>
      </w:pPr>
      <w:r>
        <w:t>c.</w:t>
      </w:r>
      <w:r>
        <w:tab/>
      </w:r>
      <w:r>
        <w:t xml:space="preserve">Cipher suites for confidentiality and integrity </w:t>
      </w:r>
      <w:proofErr w:type="gramStart"/>
      <w:r>
        <w:t>protection, when</w:t>
      </w:r>
      <w:proofErr w:type="gramEnd"/>
      <w:r>
        <w:t xml:space="preserve"> application layer security is used to protect HTTP messages between them.</w:t>
      </w:r>
    </w:p>
    <w:p w:rsidR="0068691A" w:rsidP="0068691A" w:rsidRDefault="0068691A" w14:paraId="7654BBB8" w14:textId="77777777">
      <w:pPr>
        <w:pStyle w:val="B1"/>
      </w:pPr>
      <w:r>
        <w:t>d.</w:t>
      </w:r>
      <w:r>
        <w:tab/>
      </w:r>
      <w:r>
        <w:t>N32-f context ID. As specified in clause 13.2.2.4.1, N32-f context ID identifies the set of security related configuration parameters applicable to a protected message received from a SEPP in a different PLMN.</w:t>
      </w:r>
    </w:p>
    <w:p w:rsidR="0068691A" w:rsidP="0068691A" w:rsidRDefault="0068691A" w14:paraId="2BB2687F" w14:textId="77777777">
      <w:pPr>
        <w:pStyle w:val="Heading4"/>
      </w:pPr>
      <w:bookmarkStart w:name="_Toc19634848" w:id="43"/>
      <w:bookmarkStart w:name="_Toc26875914" w:id="44"/>
      <w:bookmarkStart w:name="_Toc35528681" w:id="45"/>
      <w:bookmarkStart w:name="_Toc35533442" w:id="46"/>
      <w:bookmarkStart w:name="_Toc45028795" w:id="47"/>
      <w:bookmarkStart w:name="_Toc45274460" w:id="48"/>
      <w:bookmarkStart w:name="_Toc45275047" w:id="49"/>
      <w:bookmarkStart w:name="_Toc51168304" w:id="50"/>
      <w:bookmarkStart w:name="_Toc98839052" w:id="51"/>
      <w:r w:rsidRPr="00BF2A66">
        <w:t>13.</w:t>
      </w:r>
      <w:r>
        <w:t>2.2.3</w:t>
      </w:r>
      <w:r w:rsidRPr="00BF2A66">
        <w:tab/>
      </w:r>
      <w:r>
        <w:t>Procedure for error detection and handling in SEPP</w:t>
      </w:r>
      <w:bookmarkEnd w:id="43"/>
      <w:bookmarkEnd w:id="44"/>
      <w:bookmarkEnd w:id="45"/>
      <w:bookmarkEnd w:id="46"/>
      <w:bookmarkEnd w:id="47"/>
      <w:bookmarkEnd w:id="48"/>
      <w:bookmarkEnd w:id="49"/>
      <w:bookmarkEnd w:id="50"/>
      <w:bookmarkEnd w:id="51"/>
    </w:p>
    <w:p w:rsidR="0068691A" w:rsidP="0068691A" w:rsidRDefault="0068691A" w14:paraId="765FA447" w14:textId="77777777">
      <w:r>
        <w:t xml:space="preserve">Errors can occur on an active N32-c connection or on one or more N32-f connections between two SEPPs. </w:t>
      </w:r>
    </w:p>
    <w:p w:rsidR="0068691A" w:rsidP="0068691A" w:rsidRDefault="0068691A" w14:paraId="4E2E3752" w14:textId="77777777">
      <w:r>
        <w:t>When an error is detected, the SEPP shall map the error to an appropriate cause code</w:t>
      </w:r>
      <w:r w:rsidRPr="00F82361">
        <w:t xml:space="preserve">. </w:t>
      </w:r>
      <w:r>
        <w:t>The SEPP shall create a</w:t>
      </w:r>
      <w:r w:rsidRPr="00F82361">
        <w:t xml:space="preserve"> </w:t>
      </w:r>
      <w:proofErr w:type="spellStart"/>
      <w:r>
        <w:t>signalling</w:t>
      </w:r>
      <w:proofErr w:type="spellEnd"/>
      <w:r>
        <w:t xml:space="preserve"> message to inform the peer SEPP, with cause code as one of its parameters. </w:t>
      </w:r>
    </w:p>
    <w:p w:rsidR="0068691A" w:rsidP="0068691A" w:rsidRDefault="0068691A" w14:paraId="5E0D249F" w14:textId="77777777">
      <w:r>
        <w:t xml:space="preserve">The SEPP shall use the N32-c connection to send the </w:t>
      </w:r>
      <w:proofErr w:type="spellStart"/>
      <w:r>
        <w:t>signalling</w:t>
      </w:r>
      <w:proofErr w:type="spellEnd"/>
      <w:r>
        <w:t xml:space="preserve"> message to the peer SEPP. </w:t>
      </w:r>
      <w:r w:rsidRPr="00E8484C">
        <w:t>If the old N32-c connection has been terminated, it uses a new N32-c connection instead</w:t>
      </w:r>
      <w:r>
        <w:t>.</w:t>
      </w:r>
    </w:p>
    <w:p w:rsidR="0068691A" w:rsidP="0068691A" w:rsidRDefault="0068691A" w14:paraId="3942CDD1" w14:textId="77777777">
      <w:pPr>
        <w:rPr>
          <w:sz w:val="22"/>
          <w:szCs w:val="22"/>
        </w:rPr>
      </w:pPr>
    </w:p>
    <w:p w:rsidR="0068691A" w:rsidP="0068691A" w:rsidRDefault="0068691A" w14:paraId="52DE8D89" w14:textId="77777777">
      <w:pPr>
        <w:pStyle w:val="Heading3"/>
      </w:pPr>
      <w:bookmarkStart w:name="_Toc26875908" w:id="52"/>
      <w:bookmarkStart w:name="_Toc35528675" w:id="53"/>
      <w:bookmarkStart w:name="_Toc35533436" w:id="54"/>
      <w:bookmarkStart w:name="_Toc45028789" w:id="55"/>
      <w:bookmarkStart w:name="_Toc45274454" w:id="56"/>
      <w:bookmarkStart w:name="_Toc45275041" w:id="57"/>
      <w:bookmarkStart w:name="_Toc51168298" w:id="58"/>
      <w:bookmarkStart w:name="_Toc98839046" w:id="59"/>
      <w:r>
        <w:t>13.1.2</w:t>
      </w:r>
      <w:r>
        <w:tab/>
      </w:r>
      <w:r>
        <w:t>Protection between SEPPs</w:t>
      </w:r>
      <w:bookmarkEnd w:id="52"/>
      <w:bookmarkEnd w:id="53"/>
      <w:bookmarkEnd w:id="54"/>
      <w:bookmarkEnd w:id="55"/>
      <w:bookmarkEnd w:id="56"/>
      <w:bookmarkEnd w:id="57"/>
      <w:bookmarkEnd w:id="58"/>
      <w:bookmarkEnd w:id="59"/>
    </w:p>
    <w:p w:rsidR="0068691A" w:rsidP="0068691A" w:rsidRDefault="0068691A" w14:paraId="3EE8ACF7" w14:textId="77777777">
      <w:r w:rsidRPr="007B1E70">
        <w:t>TLS shall be used for N32-c connections between the SEPPs.</w:t>
      </w:r>
    </w:p>
    <w:p w:rsidR="0068691A" w:rsidP="0068691A" w:rsidRDefault="0068691A" w14:paraId="7F4064A8" w14:textId="77777777">
      <w:r>
        <w:t xml:space="preserve">If there are no IPX </w:t>
      </w:r>
      <w:r w:rsidRPr="007B1E70">
        <w:t xml:space="preserve">providers </w:t>
      </w:r>
      <w:r>
        <w:t>between the SEPPs, TLS shall be used</w:t>
      </w:r>
      <w:r w:rsidRPr="007B1E70">
        <w:t xml:space="preserve"> for N32-f connections</w:t>
      </w:r>
      <w:r>
        <w:t xml:space="preserve"> between the SEPPs. </w:t>
      </w:r>
      <w:r w:rsidRPr="00A601EC">
        <w:t xml:space="preserve">If there are IPX </w:t>
      </w:r>
      <w:r w:rsidRPr="007B1E70">
        <w:t xml:space="preserve">providers which only offer IP routing service </w:t>
      </w:r>
      <w:r w:rsidRPr="00A601EC">
        <w:t>between SEPPs,</w:t>
      </w:r>
      <w:r w:rsidRPr="00152B9D">
        <w:t xml:space="preserve"> </w:t>
      </w:r>
      <w:r w:rsidRPr="007B1E70">
        <w:t xml:space="preserve">either TLS or </w:t>
      </w:r>
      <w:r>
        <w:t>PRINS (application layer security)</w:t>
      </w:r>
      <w:r w:rsidRPr="00A601EC">
        <w:t xml:space="preserve"> </w:t>
      </w:r>
      <w:r>
        <w:t>shall be used</w:t>
      </w:r>
      <w:r w:rsidRPr="00A601EC">
        <w:t xml:space="preserve"> for protection </w:t>
      </w:r>
      <w:r w:rsidRPr="007B1E70">
        <w:t xml:space="preserve">of N32-f connections </w:t>
      </w:r>
      <w:r w:rsidRPr="00A601EC">
        <w:t xml:space="preserve">between the SEPPs. </w:t>
      </w:r>
      <w:r>
        <w:t xml:space="preserve">PRINS </w:t>
      </w:r>
      <w:r w:rsidRPr="00A601EC">
        <w:t>is specified in clause 5.</w:t>
      </w:r>
      <w:r>
        <w:t>9</w:t>
      </w:r>
      <w:r w:rsidRPr="00A601EC">
        <w:t>.3 (requirements) and clause 13.2 (procedures)</w:t>
      </w:r>
      <w:r>
        <w:t>.</w:t>
      </w:r>
    </w:p>
    <w:p w:rsidR="0068691A" w:rsidP="0068691A" w:rsidRDefault="0068691A" w14:paraId="64627492" w14:textId="77777777">
      <w:r w:rsidRPr="007B1E70">
        <w:t xml:space="preserve">If there are IPX providers which, in addition to IP routing, offer other services that require modification or observation of the information and/or additions to the information sent between the SEPPs, PRINS shall be used for protection of N32-f connections between the SEPPs. </w:t>
      </w:r>
    </w:p>
    <w:p w:rsidRPr="00A601EC" w:rsidR="0068691A" w:rsidP="0068691A" w:rsidRDefault="0068691A" w14:paraId="301EE27A" w14:textId="77777777">
      <w:pPr>
        <w:pStyle w:val="NO"/>
      </w:pPr>
      <w:r>
        <w:rPr>
          <w:rFonts w:hint="eastAsia"/>
        </w:rPr>
        <w:t>N</w:t>
      </w:r>
      <w:r>
        <w:t>OTE</w:t>
      </w:r>
      <w:r w:rsidRPr="009703B0">
        <w:t> </w:t>
      </w:r>
      <w:r>
        <w:t>1a:</w:t>
      </w:r>
      <w:r>
        <w:tab/>
      </w:r>
      <w:r>
        <w:t xml:space="preserve">The procedure specified in clause 13.5 for security mechanism selection between SEPPs </w:t>
      </w:r>
      <w:r w:rsidRPr="007B1E70">
        <w:t xml:space="preserve">allows SEPPs to negotiate which security mechanism to use for protecting NF service-related </w:t>
      </w:r>
      <w:proofErr w:type="spellStart"/>
      <w:r w:rsidRPr="007B1E70">
        <w:t>signalling</w:t>
      </w:r>
      <w:proofErr w:type="spellEnd"/>
      <w:r w:rsidRPr="007B1E70">
        <w:t xml:space="preserve"> over N32, and </w:t>
      </w:r>
      <w:r>
        <w:t>provides robustness and future-proofness, e.g. in case new algorithms are introduced in the future.</w:t>
      </w:r>
    </w:p>
    <w:p w:rsidRPr="009C2D05" w:rsidR="00617381" w:rsidP="007E2DA2" w:rsidRDefault="00DE2E3A" w14:paraId="1BBC8DBE" w14:textId="2EDFED2D">
      <w:pPr>
        <w:rPr>
          <w:sz w:val="22"/>
          <w:szCs w:val="22"/>
        </w:rPr>
      </w:pPr>
      <w:r>
        <w:rPr>
          <w:noProof/>
        </w:rPr>
        <w:drawing>
          <wp:inline distT="0" distB="0" distL="0" distR="0" wp14:anchorId="4EB7D895" wp14:editId="182F9C57">
            <wp:extent cx="5943600" cy="3444875"/>
            <wp:effectExtent l="0" t="0" r="0" b="3175"/>
            <wp:docPr id="1" name="Picture 1" descr="On Threats to the 5G Service Based Architecture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 Threats to the 5G Service Based Architecture | SpringerLi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44875"/>
                    </a:xfrm>
                    <a:prstGeom prst="rect">
                      <a:avLst/>
                    </a:prstGeom>
                    <a:noFill/>
                    <a:ln>
                      <a:noFill/>
                    </a:ln>
                  </pic:spPr>
                </pic:pic>
              </a:graphicData>
            </a:graphic>
          </wp:inline>
        </w:drawing>
      </w:r>
    </w:p>
    <w:sectPr w:rsidRPr="009C2D05" w:rsidR="00617381" w:rsidSect="00020259">
      <w:footerReference w:type="default" r:id="rId15"/>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SD" w:author="Dr. Surajit Dey" w:date="2022-05-18T06:05:00Z" w:id="0">
    <w:p w:rsidR="00924402" w:rsidRDefault="00924402" w14:paraId="3D02657F" w14:textId="7F87EFE4">
      <w:pPr>
        <w:pStyle w:val="CommentText"/>
      </w:pPr>
      <w:r>
        <w:rPr>
          <w:rStyle w:val="CommentReference"/>
        </w:rPr>
        <w:annotationRef/>
      </w:r>
      <w:r w:rsidR="00D90616">
        <w:t>Is it hPLMN?</w:t>
      </w:r>
      <w:r w:rsidR="00E37CC0">
        <w:t xml:space="preserve"> Have not seen </w:t>
      </w:r>
      <w:r w:rsidR="00700155">
        <w:t>p/cPLMN terminology in 3GPP specs.</w:t>
      </w:r>
      <w:r w:rsidR="001C2D9D">
        <w:t xml:space="preserve"> I think we should use </w:t>
      </w:r>
      <w:r w:rsidR="008D69C1">
        <w:t xml:space="preserve">only </w:t>
      </w:r>
      <w:r w:rsidR="001C2D9D">
        <w:t>vPLMN and hPLMN same as 3GPP</w:t>
      </w:r>
      <w:r w:rsidR="008D69C1">
        <w:t>.</w:t>
      </w:r>
    </w:p>
  </w:comment>
  <w:comment w:initials="AR" w:author="Andy Radle" w:date="2022-05-18T07:29:00Z" w:id="1">
    <w:p w:rsidR="00A00AE0" w:rsidP="000928B9" w:rsidRDefault="00A00AE0" w14:paraId="55AACC5C" w14:textId="77777777">
      <w:pPr>
        <w:pStyle w:val="CommentText"/>
      </w:pPr>
      <w:r>
        <w:rPr>
          <w:rStyle w:val="CommentReference"/>
        </w:rPr>
        <w:annotationRef/>
      </w:r>
      <w:r>
        <w:t>I'll change.  I saw it in context somewhere such that the directionality wasn't always roaming since the producer vs. consumer of the function was involved.  But, I think the vPLMN hPLMN will work here.</w:t>
      </w:r>
    </w:p>
  </w:comment>
  <w:comment w:initials="DSD" w:author="Dr. Surajit Dey" w:date="2022-05-18T10:53:00Z" w:id="2">
    <w:p w:rsidR="00485A08" w:rsidRDefault="00485A08" w14:paraId="30ACADDF" w14:textId="6EBF5251">
      <w:pPr>
        <w:pStyle w:val="CommentText"/>
      </w:pPr>
      <w:r>
        <w:rPr>
          <w:rStyle w:val="CommentReference"/>
        </w:rPr>
        <w:annotationRef/>
      </w:r>
      <w:r>
        <w:t>Saw your change. I think we still have some pPLMNs left in the document. May be you are still working on this doc.</w:t>
      </w:r>
    </w:p>
  </w:comment>
  <w:comment w:initials="AR" w:author="Andy Radle" w:date="2022-05-18T12:07:00Z" w:id="3">
    <w:p w:rsidR="00BF1124" w:rsidP="000928B9" w:rsidRDefault="00BF1124" w14:paraId="4A701BF2" w14:textId="77777777">
      <w:pPr>
        <w:pStyle w:val="CommentText"/>
      </w:pPr>
      <w:r>
        <w:rPr>
          <w:rStyle w:val="CommentReference"/>
        </w:rPr>
        <w:annotationRef/>
      </w:r>
      <w:r>
        <w:t>Yes, wasn't done.  I think I have them all fixed.</w:t>
      </w:r>
    </w:p>
  </w:comment>
  <w:comment w:initials="MV" w:author="M. Vanderveen" w:date="2022-07-26T21:46:00Z" w:id="4">
    <w:p w:rsidR="00866DF3" w:rsidRDefault="00866DF3" w14:paraId="5836E4F6" w14:textId="77777777">
      <w:pPr>
        <w:pStyle w:val="CommentText"/>
      </w:pPr>
      <w:r>
        <w:rPr>
          <w:rStyle w:val="CommentReference"/>
        </w:rPr>
        <w:annotationRef/>
      </w:r>
      <w:r>
        <w:t>I changed hPLMN to PLMN. The h is not important. And it may confuse the readers...</w:t>
      </w:r>
      <w:r>
        <w:rPr>
          <w:rStyle w:val="CommentReference"/>
        </w:rPr>
        <w:annotationRef/>
      </w:r>
    </w:p>
  </w:comment>
  <w:comment w:initials="AR" w:author="Andy Radle" w:date="2022-05-17T16:10:00Z" w:id="5">
    <w:p w:rsidR="000121B1" w:rsidP="000928B9" w:rsidRDefault="000121B1" w14:paraId="2CBE7388" w14:textId="2BC66A67">
      <w:pPr>
        <w:pStyle w:val="CommentText"/>
      </w:pPr>
      <w:r>
        <w:rPr>
          <w:rStyle w:val="CommentReference"/>
        </w:rPr>
        <w:annotationRef/>
      </w:r>
      <w:r>
        <w:t>Removed FGT5016.001 since it is being folded into FGT5016</w:t>
      </w:r>
    </w:p>
  </w:comment>
  <w:comment w:initials="AR" w:author="Andy Radle" w:date="2022-05-17T16:10:00Z" w:id="6">
    <w:p w:rsidR="000121B1" w:rsidP="000928B9" w:rsidRDefault="000121B1" w14:paraId="1E5E9E42" w14:textId="77777777">
      <w:pPr>
        <w:pStyle w:val="CommentText"/>
      </w:pPr>
      <w:r>
        <w:rPr>
          <w:rStyle w:val="CommentReference"/>
        </w:rPr>
        <w:annotationRef/>
      </w:r>
      <w:r>
        <w:t>Impact is being removed since that is covered in FGT5029</w:t>
      </w:r>
    </w:p>
  </w:comment>
  <w:comment w:initials="MV" w:author="M. Vanderveen" w:date="2022-05-24T17:27:00Z" w:id="7">
    <w:p w:rsidR="00E51DAF" w:rsidRDefault="00E51DAF" w14:paraId="4404874E" w14:textId="77777777">
      <w:pPr>
        <w:pStyle w:val="CommentText"/>
      </w:pPr>
      <w:r>
        <w:rPr>
          <w:rStyle w:val="CommentReference"/>
        </w:rPr>
        <w:annotationRef/>
      </w:r>
      <w:r>
        <w:t xml:space="preserve">I moved the text that was in the paragraphs above (description) to here, since the description was too lengthy and detailed. </w:t>
      </w:r>
    </w:p>
    <w:p w:rsidR="00E51DAF" w:rsidRDefault="00E51DAF" w14:paraId="2C0A8E55" w14:textId="694A7903">
      <w:pPr>
        <w:pStyle w:val="CommentText"/>
      </w:pPr>
      <w:r>
        <w:t>The only text I contributed is the Name (a title for the story).</w:t>
      </w:r>
    </w:p>
  </w:comment>
  <w:comment w:initials="MV" w:author="M. Vanderveen" w:date="2022-04-20T13:58:00Z" w:id="8">
    <w:p w:rsidR="00E51DAF" w:rsidP="00E51DAF" w:rsidRDefault="00E51DAF" w14:paraId="5ECA251C" w14:textId="77777777">
      <w:pPr>
        <w:pStyle w:val="CommentText"/>
      </w:pPr>
      <w:r>
        <w:rPr>
          <w:rStyle w:val="CommentReference"/>
        </w:rPr>
        <w:annotationRef/>
      </w:r>
      <w:r>
        <w:t>Really, can do this without any other attack- I thought these are specifically not open to MITM etc. All either encrypted or signed with JWS.</w:t>
      </w:r>
    </w:p>
    <w:p w:rsidR="00E51DAF" w:rsidP="00E51DAF" w:rsidRDefault="00E51DAF" w14:paraId="0BFE79A5" w14:textId="77777777">
      <w:pPr>
        <w:pStyle w:val="CommentText"/>
      </w:pPr>
      <w:r>
        <w:t xml:space="preserve">Is it really true that PRINS has no security. I heard it does, all JSON stuff. But still, it may be that it is inadequate. </w:t>
      </w:r>
    </w:p>
    <w:p w:rsidR="00E51DAF" w:rsidP="00E51DAF" w:rsidRDefault="00E51DAF" w14:paraId="3C8D5395" w14:textId="77777777">
      <w:pPr>
        <w:pStyle w:val="CommentText"/>
      </w:pPr>
      <w:r>
        <w:t>So maybe just for SOME PRINS algorithms?</w:t>
      </w:r>
    </w:p>
  </w:comment>
  <w:comment w:initials="AR" w:author="Andy Radle" w:date="2022-05-18T07:32:00Z" w:id="9">
    <w:p w:rsidR="00E51DAF" w:rsidP="00E51DAF" w:rsidRDefault="00E51DAF" w14:paraId="14CC4E27" w14:textId="77777777">
      <w:pPr>
        <w:pStyle w:val="CommentText"/>
      </w:pPr>
      <w:r>
        <w:rPr>
          <w:rStyle w:val="CommentReference"/>
        </w:rPr>
        <w:annotationRef/>
      </w:r>
      <w:r>
        <w:t>If an adversary has compromised the IPX that can legitimately modify the IE, then the adversary can modify them using the IPX's legitimate signing keys.  The resultant message modification tests valid in this case.</w:t>
      </w:r>
    </w:p>
  </w:comment>
  <w:comment w:initials="DSD" w:author="Dr. Surajit Dey" w:date="2022-05-03T14:42:00Z" w:id="10">
    <w:p w:rsidR="00E51DAF" w:rsidP="00E51DAF" w:rsidRDefault="00E51DAF" w14:paraId="7CDEEB88" w14:textId="77777777">
      <w:pPr>
        <w:pStyle w:val="CommentText"/>
      </w:pPr>
      <w:r>
        <w:rPr>
          <w:rStyle w:val="CommentReference"/>
        </w:rPr>
        <w:annotationRef/>
      </w:r>
      <w:r>
        <w:t>Is it between cSEPP and cIPX? Section 13.2 of 33.501.</w:t>
      </w:r>
    </w:p>
  </w:comment>
  <w:comment w:initials="AR" w:author="Andy Radle" w:date="2022-05-18T07:34:00Z" w:id="11">
    <w:p w:rsidR="00E51DAF" w:rsidP="00E51DAF" w:rsidRDefault="00E51DAF" w14:paraId="0EFEB78C" w14:textId="77777777">
      <w:pPr>
        <w:pStyle w:val="CommentText"/>
      </w:pPr>
      <w:r>
        <w:rPr>
          <w:rStyle w:val="CommentReference"/>
        </w:rPr>
        <w:annotationRef/>
      </w:r>
      <w:r>
        <w:t>Hmm, I'm presuming the adversary has compromised either the vSEPP or vIPX which is also before the hPLMN.  So it could be between vSEPP or vIPX but not necessarily in the case of the VIPX being the sources of compromise for a PRINS transaction.</w:t>
      </w:r>
    </w:p>
  </w:comment>
  <w:comment w:initials="DSD" w:author="Dr. Surajit Dey" w:date="2022-05-18T11:35:00Z" w:id="12">
    <w:p w:rsidR="00E51DAF" w:rsidP="00E51DAF" w:rsidRDefault="00E51DAF" w14:paraId="5CD42224" w14:textId="77777777">
      <w:pPr>
        <w:pStyle w:val="CommentText"/>
      </w:pPr>
      <w:r>
        <w:rPr>
          <w:rStyle w:val="CommentReference"/>
        </w:rPr>
        <w:annotationRef/>
      </w:r>
      <w:r>
        <w:t>This threat can be present if PRINS is not used also?</w:t>
      </w:r>
    </w:p>
  </w:comment>
  <w:comment w:initials="MV" w:author="M. Vanderveen" w:date="2022-04-21T13:38:00Z" w:id="13">
    <w:p w:rsidR="00E51DAF" w:rsidP="00E51DAF" w:rsidRDefault="00E51DAF" w14:paraId="512EA654" w14:textId="77777777">
      <w:pPr>
        <w:pStyle w:val="CommentText"/>
      </w:pPr>
      <w:r>
        <w:rPr>
          <w:rStyle w:val="CommentReference"/>
        </w:rPr>
        <w:annotationRef/>
      </w:r>
      <w:r>
        <w:fldChar w:fldCharType="begin"/>
      </w:r>
      <w:r>
        <w:instrText xml:space="preserve"> HYPERLINK "mailto:aradle@mitre.org" </w:instrText>
      </w:r>
      <w:bookmarkStart w:name="_@_1567702AD9194FB0B3D4882FA16865B9Z" w:id="15"/>
      <w:r>
        <w:rPr>
          <w:rStyle w:val="Mention"/>
        </w:rPr>
        <w:fldChar w:fldCharType="separate"/>
      </w:r>
      <w:bookmarkEnd w:id="15"/>
      <w:r w:rsidRPr="00E05484">
        <w:rPr>
          <w:rStyle w:val="Mention"/>
          <w:noProof/>
        </w:rPr>
        <w:t>@Andy Radle</w:t>
      </w:r>
      <w:r>
        <w:fldChar w:fldCharType="end"/>
      </w:r>
      <w:r>
        <w:t xml:space="preserve"> Actually that should probably be under “eavesdropping” not modification. (so, exploit when there is no encryption, rather than no integrity). Yes?</w:t>
      </w:r>
    </w:p>
  </w:comment>
  <w:comment w:initials="AR" w:author="Andy Radle" w:date="2022-05-18T07:40:00Z" w:id="14">
    <w:p w:rsidR="00E51DAF" w:rsidP="00E51DAF" w:rsidRDefault="00E51DAF" w14:paraId="05AFC9E6" w14:textId="77777777">
      <w:pPr>
        <w:pStyle w:val="CommentText"/>
      </w:pPr>
      <w:r>
        <w:rPr>
          <w:rStyle w:val="CommentReference"/>
        </w:rPr>
        <w:annotationRef/>
      </w:r>
      <w:r>
        <w:t>This isn't about no encryption.  It is integrity maybe.  Per my comment to Surajit above.  I'm assuming the adversary has legitimate IPX or SEPP keys and as a result can modify elements.  If I can modify elements, there is an integrity compromise but also depending on what is modified, information may be disclosed to the IPX that otherwise might not I believe.  There is an argument there that it could be under a different technique but you have to ask why the adversary wanted to modify the elements.  I think this technique is going to be one where we want to have more in the doNotParse section.</w:t>
      </w:r>
    </w:p>
  </w:comment>
  <w:comment w:initials="MV" w:author="M. Vanderveen" w:date="2022-04-20T14:05:00Z" w:id="16">
    <w:p w:rsidR="008548B0" w:rsidRDefault="008548B0" w14:paraId="5D6A49D4" w14:textId="2EEA16C8">
      <w:pPr>
        <w:pStyle w:val="CommentText"/>
      </w:pPr>
      <w:r>
        <w:rPr>
          <w:rStyle w:val="CommentReference"/>
        </w:rPr>
        <w:annotationRef/>
      </w:r>
      <w:r>
        <w:t>I’m not sure but I think the mitigations are left for the subtechniques…</w:t>
      </w:r>
    </w:p>
  </w:comment>
  <w:comment w:initials="AR" w:author="Andy Radle" w:date="2022-04-21T13:01:00Z" w:id="17">
    <w:p w:rsidR="004D026E" w:rsidP="008265EC" w:rsidRDefault="004D026E" w14:paraId="0E588A87" w14:textId="4A889AD5">
      <w:pPr>
        <w:pStyle w:val="CommentText"/>
      </w:pPr>
      <w:r>
        <w:rPr>
          <w:rStyle w:val="CommentReference"/>
        </w:rPr>
        <w:annotationRef/>
      </w:r>
      <w:r>
        <w:fldChar w:fldCharType="begin"/>
      </w:r>
      <w:r>
        <w:instrText xml:space="preserve"> HYPERLINK "mailto:mvanderveen@mitre.org" </w:instrText>
      </w:r>
      <w:bookmarkStart w:name="_@_662591538EDF479F886E407607A038F1Z" w:id="18"/>
      <w:r>
        <w:fldChar w:fldCharType="separate"/>
      </w:r>
      <w:bookmarkEnd w:id="18"/>
      <w:r w:rsidRPr="004D026E">
        <w:rPr>
          <w:rStyle w:val="Mention"/>
          <w:noProof/>
        </w:rPr>
        <w:t>@Dr. Michaela Vanderveen</w:t>
      </w:r>
      <w:r>
        <w:fldChar w:fldCharType="end"/>
      </w:r>
      <w:r>
        <w:t xml:space="preserve">  In ATT&amp;CK many of the techniques also have mitigations and not just sub-techniques.</w:t>
      </w:r>
    </w:p>
  </w:comment>
  <w:comment w:initials="DSD" w:author="Dr. Surajit Dey" w:date="2022-07-13T15:50:00Z" w:id="19">
    <w:p w:rsidR="00580060" w:rsidP="00251450" w:rsidRDefault="00580060" w14:paraId="0FA300BB" w14:textId="77777777">
      <w:pPr>
        <w:pStyle w:val="CommentText"/>
      </w:pPr>
      <w:r>
        <w:rPr>
          <w:rStyle w:val="CommentReference"/>
        </w:rPr>
        <w:annotationRef/>
      </w:r>
      <w:r>
        <w:t>Should we be specific here that "initiating" SEPP is in the vPLMN?</w:t>
      </w:r>
    </w:p>
  </w:comment>
  <w:comment w:initials="AR" w:author="Andy Radle" w:date="2022-07-13T16:03:00Z" w:id="20">
    <w:p w:rsidR="006C5EE0" w:rsidRDefault="00783C6F" w14:paraId="399D00FA" w14:textId="21474983">
      <w:pPr>
        <w:pStyle w:val="CommentText"/>
      </w:pPr>
      <w:r>
        <w:rPr>
          <w:rStyle w:val="CommentReference"/>
        </w:rPr>
        <w:annotationRef/>
      </w:r>
      <w:r w:rsidR="006C5EE0">
        <w:t>I’ll change it in the Description</w:t>
      </w:r>
      <w:r w:rsidR="00EF340A">
        <w:t>.</w:t>
      </w:r>
    </w:p>
  </w:comment>
  <w:comment w:initials="AR" w:author="Andy Radle" w:date="2022-07-13T16:04:00Z" w:id="21">
    <w:p w:rsidR="00EF340A" w:rsidRDefault="00EF340A" w14:paraId="46DBE1EF" w14:textId="7C776244">
      <w:pPr>
        <w:pStyle w:val="CommentText"/>
      </w:pPr>
      <w:r>
        <w:rPr>
          <w:rStyle w:val="CommentReference"/>
        </w:rPr>
        <w:annotationRef/>
      </w:r>
    </w:p>
  </w:comment>
  <w:comment w:initials="DSD" w:author="Dr. Surajit Dey" w:date="2022-07-13T15:47:00Z" w:id="22">
    <w:p w:rsidR="0070091A" w:rsidP="00251450" w:rsidRDefault="001B38F9" w14:paraId="599FEC7C" w14:textId="200E1B7F">
      <w:pPr>
        <w:pStyle w:val="CommentText"/>
      </w:pPr>
      <w:r>
        <w:rPr>
          <w:rStyle w:val="CommentReference"/>
        </w:rPr>
        <w:annotationRef/>
      </w:r>
      <w:r w:rsidR="0070091A">
        <w:t>Should we rename this as "NFs in vPLMN"?</w:t>
      </w:r>
    </w:p>
  </w:comment>
  <w:comment w:initials="AR" w:author="Andy Radle" w:date="2022-07-13T16:05:00Z" w:id="23">
    <w:p w:rsidR="00EE2044" w:rsidRDefault="00EE2044" w14:paraId="61B3FC64" w14:textId="25F532A7">
      <w:pPr>
        <w:pStyle w:val="CommentText"/>
      </w:pPr>
      <w:r>
        <w:rPr>
          <w:rStyle w:val="CommentReference"/>
        </w:rPr>
        <w:annotationRef/>
      </w:r>
      <w:r>
        <w:t>Agreed, makes it more clear</w:t>
      </w:r>
    </w:p>
  </w:comment>
  <w:comment w:initials="AR" w:author="Andy Radle" w:date="2022-07-13T16:05:00Z" w:id="24">
    <w:p w:rsidR="005C41D9" w:rsidRDefault="005C41D9" w14:paraId="73F3724F" w14:textId="5D753C7B">
      <w:pPr>
        <w:pStyle w:val="CommentText"/>
      </w:pP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3D02657F"/>
  <w15:commentEx w15:done="1" w15:paraId="55AACC5C" w15:paraIdParent="3D02657F"/>
  <w15:commentEx w15:done="1" w15:paraId="30ACADDF" w15:paraIdParent="3D02657F"/>
  <w15:commentEx w15:done="1" w15:paraId="4A701BF2" w15:paraIdParent="3D02657F"/>
  <w15:commentEx w15:done="1" w15:paraId="5836E4F6"/>
  <w15:commentEx w15:done="0" w15:paraId="2CBE7388"/>
  <w15:commentEx w15:done="0" w15:paraId="1E5E9E42"/>
  <w15:commentEx w15:done="0" w15:paraId="2C0A8E55"/>
  <w15:commentEx w15:done="0" w15:paraId="3C8D5395"/>
  <w15:commentEx w15:done="0" w15:paraId="14CC4E27" w15:paraIdParent="3C8D5395"/>
  <w15:commentEx w15:done="1" w15:paraId="7CDEEB88"/>
  <w15:commentEx w15:done="1" w15:paraId="0EFEB78C" w15:paraIdParent="7CDEEB88"/>
  <w15:commentEx w15:done="0" w15:paraId="5CD42224"/>
  <w15:commentEx w15:done="0" w15:paraId="512EA654"/>
  <w15:commentEx w15:done="0" w15:paraId="05AFC9E6" w15:paraIdParent="512EA654"/>
  <w15:commentEx w15:done="1" w15:paraId="5D6A49D4"/>
  <w15:commentEx w15:done="1" w15:paraId="0E588A87" w15:paraIdParent="5D6A49D4"/>
  <w15:commentEx w15:done="0" w15:paraId="0FA300BB"/>
  <w15:commentEx w15:done="0" w15:paraId="399D00FA" w15:paraIdParent="0FA300BB"/>
  <w15:commentEx w15:done="0" w15:paraId="46DBE1EF" w15:paraIdParent="0FA300BB"/>
  <w15:commentEx w15:done="0" w15:paraId="599FEC7C"/>
  <w15:commentEx w15:done="0" w15:paraId="61B3FC64" w15:paraIdParent="599FEC7C"/>
  <w15:commentEx w15:done="0" w15:paraId="73F3724F" w15:paraIdParent="599FEC7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2F3576" w16cex:dateUtc="2022-05-18T13:05:00Z"/>
  <w16cex:commentExtensible w16cex:durableId="262F491C" w16cex:dateUtc="2022-05-18T14:29:00Z"/>
  <w16cex:commentExtensible w16cex:durableId="262F78D5" w16cex:dateUtc="2022-05-18T17:53:00Z"/>
  <w16cex:commentExtensible w16cex:durableId="262F8A2C" w16cex:dateUtc="2022-05-18T19:07:00Z"/>
  <w16cex:commentExtensible w16cex:durableId="268ADF3F" w16cex:dateUtc="2022-07-27T04:46:00Z"/>
  <w16cex:commentExtensible w16cex:durableId="262E718F" w16cex:dateUtc="2022-05-17T23:10:00Z"/>
  <w16cex:commentExtensible w16cex:durableId="262E71A6" w16cex:dateUtc="2022-05-17T23:10:00Z"/>
  <w16cex:commentExtensible w16cex:durableId="263793F9" w16cex:dateUtc="2022-05-25T00:27:00Z"/>
  <w16cex:commentExtensible w16cex:durableId="26379428" w16cex:dateUtc="2022-04-20T20:58:00Z"/>
  <w16cex:commentExtensible w16cex:durableId="26379427" w16cex:dateUtc="2022-05-18T14:32:00Z"/>
  <w16cex:commentExtensible w16cex:durableId="26379426" w16cex:dateUtc="2022-05-03T21:42:00Z"/>
  <w16cex:commentExtensible w16cex:durableId="26379425" w16cex:dateUtc="2022-05-18T14:34:00Z"/>
  <w16cex:commentExtensible w16cex:durableId="26379424" w16cex:dateUtc="2022-05-18T18:35:00Z"/>
  <w16cex:commentExtensible w16cex:durableId="26379423" w16cex:dateUtc="2022-04-21T20:38:00Z"/>
  <w16cex:commentExtensible w16cex:durableId="26379422" w16cex:dateUtc="2022-05-18T14:40:00Z"/>
  <w16cex:commentExtensible w16cex:durableId="260A91B3" w16cex:dateUtc="2022-04-20T21:05:00Z"/>
  <w16cex:commentExtensible w16cex:durableId="260BFE4B" w16cex:dateUtc="2022-04-21T20:01:00Z"/>
  <w16cex:commentExtensible w16cex:durableId="2679685D" w16cex:dateUtc="2022-07-13T19:50:00Z"/>
  <w16cex:commentExtensible w16cex:durableId="26796B3D" w16cex:dateUtc="2022-07-13T20:03:00Z"/>
  <w16cex:commentExtensible w16cex:durableId="26796B9A" w16cex:dateUtc="2022-07-13T20:04:00Z"/>
  <w16cex:commentExtensible w16cex:durableId="26796783" w16cex:dateUtc="2022-07-13T19:47:00Z"/>
  <w16cex:commentExtensible w16cex:durableId="26796BBE" w16cex:dateUtc="2022-07-13T20:05:00Z"/>
  <w16cex:commentExtensible w16cex:durableId="26796BCB" w16cex:dateUtc="2022-07-13T20:05:00Z"/>
</w16cex:commentsExtensible>
</file>

<file path=word/commentsIds.xml><?xml version="1.0" encoding="utf-8"?>
<w16cid:commentsIds xmlns:mc="http://schemas.openxmlformats.org/markup-compatibility/2006" xmlns:w16cid="http://schemas.microsoft.com/office/word/2016/wordml/cid" mc:Ignorable="w16cid">
  <w16cid:commentId w16cid:paraId="3D02657F" w16cid:durableId="262F3576"/>
  <w16cid:commentId w16cid:paraId="55AACC5C" w16cid:durableId="262F491C"/>
  <w16cid:commentId w16cid:paraId="30ACADDF" w16cid:durableId="262F78D5"/>
  <w16cid:commentId w16cid:paraId="4A701BF2" w16cid:durableId="262F8A2C"/>
  <w16cid:commentId w16cid:paraId="5836E4F6" w16cid:durableId="268ADF3F"/>
  <w16cid:commentId w16cid:paraId="2CBE7388" w16cid:durableId="262E718F"/>
  <w16cid:commentId w16cid:paraId="1E5E9E42" w16cid:durableId="262E71A6"/>
  <w16cid:commentId w16cid:paraId="2C0A8E55" w16cid:durableId="263793F9"/>
  <w16cid:commentId w16cid:paraId="3C8D5395" w16cid:durableId="26379428"/>
  <w16cid:commentId w16cid:paraId="14CC4E27" w16cid:durableId="26379427"/>
  <w16cid:commentId w16cid:paraId="7CDEEB88" w16cid:durableId="26379426"/>
  <w16cid:commentId w16cid:paraId="0EFEB78C" w16cid:durableId="26379425"/>
  <w16cid:commentId w16cid:paraId="5CD42224" w16cid:durableId="26379424"/>
  <w16cid:commentId w16cid:paraId="512EA654" w16cid:durableId="26379423"/>
  <w16cid:commentId w16cid:paraId="05AFC9E6" w16cid:durableId="26379422"/>
  <w16cid:commentId w16cid:paraId="5D6A49D4" w16cid:durableId="260A91B3"/>
  <w16cid:commentId w16cid:paraId="0E588A87" w16cid:durableId="260BFE4B"/>
  <w16cid:commentId w16cid:paraId="0FA300BB" w16cid:durableId="2679685D"/>
  <w16cid:commentId w16cid:paraId="399D00FA" w16cid:durableId="26796B3D"/>
  <w16cid:commentId w16cid:paraId="46DBE1EF" w16cid:durableId="26796B9A"/>
  <w16cid:commentId w16cid:paraId="599FEC7C" w16cid:durableId="26796783"/>
  <w16cid:commentId w16cid:paraId="61B3FC64" w16cid:durableId="26796BBE"/>
  <w16cid:commentId w16cid:paraId="73F3724F" w16cid:durableId="26796B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7790" w:rsidP="00684328" w:rsidRDefault="002D7790" w14:paraId="22A2239B" w14:textId="77777777">
      <w:r>
        <w:separator/>
      </w:r>
    </w:p>
  </w:endnote>
  <w:endnote w:type="continuationSeparator" w:id="0">
    <w:p w:rsidR="002D7790" w:rsidP="00684328" w:rsidRDefault="002D7790" w14:paraId="4FCF2812" w14:textId="77777777">
      <w:r>
        <w:continuationSeparator/>
      </w:r>
    </w:p>
  </w:endnote>
  <w:endnote w:type="continuationNotice" w:id="1">
    <w:p w:rsidR="002D7790" w:rsidRDefault="002D7790" w14:paraId="3291E99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4328" w:rsidP="00684328" w:rsidRDefault="00684328" w14:paraId="7C6AE0A6" w14:textId="7C1CE4DF">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7790" w:rsidP="00684328" w:rsidRDefault="002D7790" w14:paraId="20827DE8" w14:textId="77777777">
      <w:r>
        <w:separator/>
      </w:r>
    </w:p>
  </w:footnote>
  <w:footnote w:type="continuationSeparator" w:id="0">
    <w:p w:rsidR="002D7790" w:rsidP="00684328" w:rsidRDefault="002D7790" w14:paraId="2673484A" w14:textId="77777777">
      <w:r>
        <w:continuationSeparator/>
      </w:r>
    </w:p>
  </w:footnote>
  <w:footnote w:type="continuationNotice" w:id="1">
    <w:p w:rsidR="002D7790" w:rsidRDefault="002D7790" w14:paraId="01D928E8" w14:textId="77777777"/>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3292B"/>
    <w:multiLevelType w:val="hybridMultilevel"/>
    <w:tmpl w:val="13E485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16cid:durableId="2129155028">
    <w:abstractNumId w:val="1"/>
  </w:num>
  <w:num w:numId="2" w16cid:durableId="1652975876">
    <w:abstractNumId w:val="0"/>
  </w:num>
  <w:num w:numId="3" w16cid:durableId="466510578">
    <w:abstractNumId w:val="2"/>
  </w:num>
  <w:num w:numId="4" w16cid:durableId="1573078345">
    <w:abstractNumId w:val="4"/>
  </w:num>
  <w:num w:numId="5" w16cid:durableId="196766057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Andy Radle">
    <w15:presenceInfo w15:providerId="AD" w15:userId="S::ARADLE@MITRE.ORG::bbce1f03-021c-4375-90b4-ffa63a59b993"/>
  </w15:person>
  <w15:person w15:author="M. Vanderveen">
    <w15:presenceInfo w15:providerId="None" w15:userId="M. Vanderveen"/>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1B1"/>
    <w:rsid w:val="00012812"/>
    <w:rsid w:val="000160C5"/>
    <w:rsid w:val="0001621C"/>
    <w:rsid w:val="00020259"/>
    <w:rsid w:val="000227C6"/>
    <w:rsid w:val="0003460D"/>
    <w:rsid w:val="00036760"/>
    <w:rsid w:val="00044FE6"/>
    <w:rsid w:val="00046138"/>
    <w:rsid w:val="00047624"/>
    <w:rsid w:val="00050DAF"/>
    <w:rsid w:val="00054CC8"/>
    <w:rsid w:val="00057E76"/>
    <w:rsid w:val="0006097E"/>
    <w:rsid w:val="00074D64"/>
    <w:rsid w:val="000820C2"/>
    <w:rsid w:val="000928B9"/>
    <w:rsid w:val="00095BA5"/>
    <w:rsid w:val="000A33AB"/>
    <w:rsid w:val="000B0C59"/>
    <w:rsid w:val="000B3EBE"/>
    <w:rsid w:val="000B401D"/>
    <w:rsid w:val="000B7A56"/>
    <w:rsid w:val="000C5421"/>
    <w:rsid w:val="000D5998"/>
    <w:rsid w:val="000D7C9C"/>
    <w:rsid w:val="000F1C22"/>
    <w:rsid w:val="000F3CA8"/>
    <w:rsid w:val="000F3FE0"/>
    <w:rsid w:val="00102859"/>
    <w:rsid w:val="001036B2"/>
    <w:rsid w:val="001153B6"/>
    <w:rsid w:val="00122B07"/>
    <w:rsid w:val="00122DCD"/>
    <w:rsid w:val="001276B8"/>
    <w:rsid w:val="00130700"/>
    <w:rsid w:val="0013105B"/>
    <w:rsid w:val="00134871"/>
    <w:rsid w:val="00135644"/>
    <w:rsid w:val="00142127"/>
    <w:rsid w:val="00146E94"/>
    <w:rsid w:val="00166765"/>
    <w:rsid w:val="0017483E"/>
    <w:rsid w:val="00183B3C"/>
    <w:rsid w:val="001935DD"/>
    <w:rsid w:val="00196843"/>
    <w:rsid w:val="001A0D01"/>
    <w:rsid w:val="001A1E6E"/>
    <w:rsid w:val="001A3C8D"/>
    <w:rsid w:val="001A5A73"/>
    <w:rsid w:val="001B38F9"/>
    <w:rsid w:val="001B63A0"/>
    <w:rsid w:val="001C2D9D"/>
    <w:rsid w:val="001D2246"/>
    <w:rsid w:val="001D4725"/>
    <w:rsid w:val="001D7738"/>
    <w:rsid w:val="001E1CCE"/>
    <w:rsid w:val="001F134B"/>
    <w:rsid w:val="001F4D31"/>
    <w:rsid w:val="001F7F57"/>
    <w:rsid w:val="0020587D"/>
    <w:rsid w:val="00213376"/>
    <w:rsid w:val="0021640F"/>
    <w:rsid w:val="00222DD3"/>
    <w:rsid w:val="002244A8"/>
    <w:rsid w:val="00225D7C"/>
    <w:rsid w:val="00225E1F"/>
    <w:rsid w:val="002304E9"/>
    <w:rsid w:val="00233341"/>
    <w:rsid w:val="002412E2"/>
    <w:rsid w:val="0024470B"/>
    <w:rsid w:val="00244DC1"/>
    <w:rsid w:val="002466D3"/>
    <w:rsid w:val="00246725"/>
    <w:rsid w:val="00246D3A"/>
    <w:rsid w:val="00251450"/>
    <w:rsid w:val="00261A52"/>
    <w:rsid w:val="002658F0"/>
    <w:rsid w:val="00271441"/>
    <w:rsid w:val="00274B48"/>
    <w:rsid w:val="002810AA"/>
    <w:rsid w:val="002818A2"/>
    <w:rsid w:val="00294FFC"/>
    <w:rsid w:val="002A3171"/>
    <w:rsid w:val="002B03B3"/>
    <w:rsid w:val="002B0434"/>
    <w:rsid w:val="002B3C24"/>
    <w:rsid w:val="002C2AD7"/>
    <w:rsid w:val="002C3A2C"/>
    <w:rsid w:val="002C3F37"/>
    <w:rsid w:val="002C7B45"/>
    <w:rsid w:val="002D3DF7"/>
    <w:rsid w:val="002D69D8"/>
    <w:rsid w:val="002D7790"/>
    <w:rsid w:val="002E4C17"/>
    <w:rsid w:val="002F3081"/>
    <w:rsid w:val="002F3684"/>
    <w:rsid w:val="002F4028"/>
    <w:rsid w:val="002F656B"/>
    <w:rsid w:val="0030258D"/>
    <w:rsid w:val="00303317"/>
    <w:rsid w:val="0032007B"/>
    <w:rsid w:val="00323BFB"/>
    <w:rsid w:val="00334BE4"/>
    <w:rsid w:val="00345B8A"/>
    <w:rsid w:val="00346E3F"/>
    <w:rsid w:val="00351110"/>
    <w:rsid w:val="00362159"/>
    <w:rsid w:val="00363E65"/>
    <w:rsid w:val="003A2685"/>
    <w:rsid w:val="003B146F"/>
    <w:rsid w:val="003B1886"/>
    <w:rsid w:val="003C184C"/>
    <w:rsid w:val="003C5CC2"/>
    <w:rsid w:val="003D5CC2"/>
    <w:rsid w:val="003D6861"/>
    <w:rsid w:val="0040061F"/>
    <w:rsid w:val="004017FA"/>
    <w:rsid w:val="00402818"/>
    <w:rsid w:val="00402DA4"/>
    <w:rsid w:val="00432313"/>
    <w:rsid w:val="00443A8E"/>
    <w:rsid w:val="00443EF5"/>
    <w:rsid w:val="00446BD8"/>
    <w:rsid w:val="00446C39"/>
    <w:rsid w:val="00446E1E"/>
    <w:rsid w:val="004503B9"/>
    <w:rsid w:val="004522F5"/>
    <w:rsid w:val="004523DF"/>
    <w:rsid w:val="00462C80"/>
    <w:rsid w:val="004701B8"/>
    <w:rsid w:val="00483DE2"/>
    <w:rsid w:val="004854FF"/>
    <w:rsid w:val="00485A08"/>
    <w:rsid w:val="004943A8"/>
    <w:rsid w:val="00495FD7"/>
    <w:rsid w:val="004A3076"/>
    <w:rsid w:val="004A4582"/>
    <w:rsid w:val="004A76DF"/>
    <w:rsid w:val="004C2F47"/>
    <w:rsid w:val="004C48B1"/>
    <w:rsid w:val="004C71F3"/>
    <w:rsid w:val="004D026E"/>
    <w:rsid w:val="004D0503"/>
    <w:rsid w:val="004E18B3"/>
    <w:rsid w:val="004E68DA"/>
    <w:rsid w:val="0050090F"/>
    <w:rsid w:val="005044B9"/>
    <w:rsid w:val="005071A3"/>
    <w:rsid w:val="0051308A"/>
    <w:rsid w:val="00514E14"/>
    <w:rsid w:val="00515051"/>
    <w:rsid w:val="00521BB8"/>
    <w:rsid w:val="00521C31"/>
    <w:rsid w:val="00534FB0"/>
    <w:rsid w:val="00542157"/>
    <w:rsid w:val="00542223"/>
    <w:rsid w:val="00543ACB"/>
    <w:rsid w:val="00544A0A"/>
    <w:rsid w:val="00551ABF"/>
    <w:rsid w:val="005561EE"/>
    <w:rsid w:val="00557B43"/>
    <w:rsid w:val="00563136"/>
    <w:rsid w:val="00564456"/>
    <w:rsid w:val="00565BCC"/>
    <w:rsid w:val="00566101"/>
    <w:rsid w:val="00580060"/>
    <w:rsid w:val="0058328E"/>
    <w:rsid w:val="0058367B"/>
    <w:rsid w:val="00591FE4"/>
    <w:rsid w:val="00592282"/>
    <w:rsid w:val="00595F29"/>
    <w:rsid w:val="005B1654"/>
    <w:rsid w:val="005C20B9"/>
    <w:rsid w:val="005C2A38"/>
    <w:rsid w:val="005C41D9"/>
    <w:rsid w:val="005F1183"/>
    <w:rsid w:val="005F6004"/>
    <w:rsid w:val="005F6869"/>
    <w:rsid w:val="00610ADD"/>
    <w:rsid w:val="0061115D"/>
    <w:rsid w:val="00611646"/>
    <w:rsid w:val="00612D04"/>
    <w:rsid w:val="00614601"/>
    <w:rsid w:val="0061635D"/>
    <w:rsid w:val="00617381"/>
    <w:rsid w:val="00621A06"/>
    <w:rsid w:val="006276C3"/>
    <w:rsid w:val="00627A54"/>
    <w:rsid w:val="0064074C"/>
    <w:rsid w:val="00641720"/>
    <w:rsid w:val="0064279D"/>
    <w:rsid w:val="00642EA0"/>
    <w:rsid w:val="00651E89"/>
    <w:rsid w:val="00655C5B"/>
    <w:rsid w:val="006627C0"/>
    <w:rsid w:val="00662ECB"/>
    <w:rsid w:val="00665E1B"/>
    <w:rsid w:val="00683CA7"/>
    <w:rsid w:val="00684328"/>
    <w:rsid w:val="0068691A"/>
    <w:rsid w:val="0069706D"/>
    <w:rsid w:val="006A76AA"/>
    <w:rsid w:val="006B2B25"/>
    <w:rsid w:val="006C3194"/>
    <w:rsid w:val="006C5EE0"/>
    <w:rsid w:val="006C78FC"/>
    <w:rsid w:val="006D65D5"/>
    <w:rsid w:val="006D65FC"/>
    <w:rsid w:val="006D7732"/>
    <w:rsid w:val="006E094C"/>
    <w:rsid w:val="006E49D4"/>
    <w:rsid w:val="006F3869"/>
    <w:rsid w:val="006F4FA3"/>
    <w:rsid w:val="006F73A2"/>
    <w:rsid w:val="006F7A96"/>
    <w:rsid w:val="00700155"/>
    <w:rsid w:val="007001DA"/>
    <w:rsid w:val="0070091A"/>
    <w:rsid w:val="007047D0"/>
    <w:rsid w:val="00704D93"/>
    <w:rsid w:val="00710D9E"/>
    <w:rsid w:val="00711A2D"/>
    <w:rsid w:val="0071530B"/>
    <w:rsid w:val="00715D50"/>
    <w:rsid w:val="00726AAA"/>
    <w:rsid w:val="0073644D"/>
    <w:rsid w:val="007370EE"/>
    <w:rsid w:val="00742C55"/>
    <w:rsid w:val="007727DD"/>
    <w:rsid w:val="00774FBA"/>
    <w:rsid w:val="00780F6F"/>
    <w:rsid w:val="00783C6F"/>
    <w:rsid w:val="00785FFD"/>
    <w:rsid w:val="00794A49"/>
    <w:rsid w:val="007A577A"/>
    <w:rsid w:val="007B5448"/>
    <w:rsid w:val="007B68EF"/>
    <w:rsid w:val="007C087F"/>
    <w:rsid w:val="007C4423"/>
    <w:rsid w:val="007C6E0D"/>
    <w:rsid w:val="007E2DA2"/>
    <w:rsid w:val="007E4C16"/>
    <w:rsid w:val="007E5943"/>
    <w:rsid w:val="007E731B"/>
    <w:rsid w:val="007E7BE1"/>
    <w:rsid w:val="007F281D"/>
    <w:rsid w:val="00800210"/>
    <w:rsid w:val="00804D03"/>
    <w:rsid w:val="008072A8"/>
    <w:rsid w:val="008124BB"/>
    <w:rsid w:val="00812AC8"/>
    <w:rsid w:val="00816A07"/>
    <w:rsid w:val="0082392D"/>
    <w:rsid w:val="008245F3"/>
    <w:rsid w:val="008265EC"/>
    <w:rsid w:val="008333B6"/>
    <w:rsid w:val="008340B9"/>
    <w:rsid w:val="00836D7E"/>
    <w:rsid w:val="008457AE"/>
    <w:rsid w:val="00853BB7"/>
    <w:rsid w:val="0085423A"/>
    <w:rsid w:val="008548B0"/>
    <w:rsid w:val="008604CF"/>
    <w:rsid w:val="00866DF3"/>
    <w:rsid w:val="00866EFA"/>
    <w:rsid w:val="00882829"/>
    <w:rsid w:val="00891024"/>
    <w:rsid w:val="00893EC4"/>
    <w:rsid w:val="008A2FE1"/>
    <w:rsid w:val="008B5F90"/>
    <w:rsid w:val="008C47D0"/>
    <w:rsid w:val="008D4473"/>
    <w:rsid w:val="008D69C1"/>
    <w:rsid w:val="008E2CA2"/>
    <w:rsid w:val="008E3966"/>
    <w:rsid w:val="0090158D"/>
    <w:rsid w:val="00901872"/>
    <w:rsid w:val="00901A3F"/>
    <w:rsid w:val="00905223"/>
    <w:rsid w:val="00911CF1"/>
    <w:rsid w:val="009151A7"/>
    <w:rsid w:val="00917049"/>
    <w:rsid w:val="00922A49"/>
    <w:rsid w:val="00924402"/>
    <w:rsid w:val="00926A04"/>
    <w:rsid w:val="00926B34"/>
    <w:rsid w:val="009326E0"/>
    <w:rsid w:val="00935BFC"/>
    <w:rsid w:val="00943D98"/>
    <w:rsid w:val="00946683"/>
    <w:rsid w:val="00946E61"/>
    <w:rsid w:val="00950B69"/>
    <w:rsid w:val="00953ED8"/>
    <w:rsid w:val="0095425F"/>
    <w:rsid w:val="0096408C"/>
    <w:rsid w:val="009833CC"/>
    <w:rsid w:val="009A351F"/>
    <w:rsid w:val="009A3E22"/>
    <w:rsid w:val="009A647D"/>
    <w:rsid w:val="009C2D05"/>
    <w:rsid w:val="009D1DCC"/>
    <w:rsid w:val="009D7D8B"/>
    <w:rsid w:val="009F4A04"/>
    <w:rsid w:val="00A00AE0"/>
    <w:rsid w:val="00A02679"/>
    <w:rsid w:val="00A0460A"/>
    <w:rsid w:val="00A1273D"/>
    <w:rsid w:val="00A145B9"/>
    <w:rsid w:val="00A151F0"/>
    <w:rsid w:val="00A3089F"/>
    <w:rsid w:val="00A43619"/>
    <w:rsid w:val="00A43BE7"/>
    <w:rsid w:val="00A516B3"/>
    <w:rsid w:val="00A54A48"/>
    <w:rsid w:val="00A559C2"/>
    <w:rsid w:val="00A61C28"/>
    <w:rsid w:val="00A6505C"/>
    <w:rsid w:val="00A66C7D"/>
    <w:rsid w:val="00A83A18"/>
    <w:rsid w:val="00A8629E"/>
    <w:rsid w:val="00A8697D"/>
    <w:rsid w:val="00A94926"/>
    <w:rsid w:val="00A94966"/>
    <w:rsid w:val="00AB004E"/>
    <w:rsid w:val="00AB5E23"/>
    <w:rsid w:val="00AB60F2"/>
    <w:rsid w:val="00AC4051"/>
    <w:rsid w:val="00AC6576"/>
    <w:rsid w:val="00AD30EF"/>
    <w:rsid w:val="00AD568A"/>
    <w:rsid w:val="00AE278E"/>
    <w:rsid w:val="00AF0006"/>
    <w:rsid w:val="00AF06DC"/>
    <w:rsid w:val="00B07073"/>
    <w:rsid w:val="00B105D8"/>
    <w:rsid w:val="00B119A9"/>
    <w:rsid w:val="00B147F1"/>
    <w:rsid w:val="00B16654"/>
    <w:rsid w:val="00B204B6"/>
    <w:rsid w:val="00B22A0C"/>
    <w:rsid w:val="00B2364A"/>
    <w:rsid w:val="00B33162"/>
    <w:rsid w:val="00B45D0F"/>
    <w:rsid w:val="00B47B99"/>
    <w:rsid w:val="00B626C7"/>
    <w:rsid w:val="00B64733"/>
    <w:rsid w:val="00B84DCF"/>
    <w:rsid w:val="00B8573A"/>
    <w:rsid w:val="00B864AE"/>
    <w:rsid w:val="00B87055"/>
    <w:rsid w:val="00B92366"/>
    <w:rsid w:val="00B92B14"/>
    <w:rsid w:val="00B9768F"/>
    <w:rsid w:val="00BA2D65"/>
    <w:rsid w:val="00BA78B0"/>
    <w:rsid w:val="00BA7BC6"/>
    <w:rsid w:val="00BB0650"/>
    <w:rsid w:val="00BB4E27"/>
    <w:rsid w:val="00BC11C3"/>
    <w:rsid w:val="00BC1878"/>
    <w:rsid w:val="00BC22EB"/>
    <w:rsid w:val="00BC62F9"/>
    <w:rsid w:val="00BC7E10"/>
    <w:rsid w:val="00BD48DC"/>
    <w:rsid w:val="00BE5721"/>
    <w:rsid w:val="00BE61CA"/>
    <w:rsid w:val="00BE75E1"/>
    <w:rsid w:val="00BE77EF"/>
    <w:rsid w:val="00BF1124"/>
    <w:rsid w:val="00BF248F"/>
    <w:rsid w:val="00C02150"/>
    <w:rsid w:val="00C11BA2"/>
    <w:rsid w:val="00C14521"/>
    <w:rsid w:val="00C154D9"/>
    <w:rsid w:val="00C17DEB"/>
    <w:rsid w:val="00C22712"/>
    <w:rsid w:val="00C4511F"/>
    <w:rsid w:val="00C50513"/>
    <w:rsid w:val="00C50AE4"/>
    <w:rsid w:val="00C50FD5"/>
    <w:rsid w:val="00C54163"/>
    <w:rsid w:val="00C605AB"/>
    <w:rsid w:val="00C609B8"/>
    <w:rsid w:val="00C613D7"/>
    <w:rsid w:val="00C74A5B"/>
    <w:rsid w:val="00C835D3"/>
    <w:rsid w:val="00C83CA5"/>
    <w:rsid w:val="00C86EF4"/>
    <w:rsid w:val="00C94CDD"/>
    <w:rsid w:val="00CA147E"/>
    <w:rsid w:val="00CA5290"/>
    <w:rsid w:val="00CB73D0"/>
    <w:rsid w:val="00CC217C"/>
    <w:rsid w:val="00CD2657"/>
    <w:rsid w:val="00CD337C"/>
    <w:rsid w:val="00CD7E59"/>
    <w:rsid w:val="00CE0BA1"/>
    <w:rsid w:val="00CE5E84"/>
    <w:rsid w:val="00CF020F"/>
    <w:rsid w:val="00D05802"/>
    <w:rsid w:val="00D12B5F"/>
    <w:rsid w:val="00D2209F"/>
    <w:rsid w:val="00D24AD7"/>
    <w:rsid w:val="00D32852"/>
    <w:rsid w:val="00D3360E"/>
    <w:rsid w:val="00D36613"/>
    <w:rsid w:val="00D4011E"/>
    <w:rsid w:val="00D61CF7"/>
    <w:rsid w:val="00D62C2F"/>
    <w:rsid w:val="00D6354A"/>
    <w:rsid w:val="00D65606"/>
    <w:rsid w:val="00D65CB1"/>
    <w:rsid w:val="00D677B3"/>
    <w:rsid w:val="00D7138A"/>
    <w:rsid w:val="00D76504"/>
    <w:rsid w:val="00D84FEB"/>
    <w:rsid w:val="00D86029"/>
    <w:rsid w:val="00D8794F"/>
    <w:rsid w:val="00D90616"/>
    <w:rsid w:val="00D96D90"/>
    <w:rsid w:val="00D977F8"/>
    <w:rsid w:val="00DA1E92"/>
    <w:rsid w:val="00DA2AB6"/>
    <w:rsid w:val="00DA4B2E"/>
    <w:rsid w:val="00DA7D53"/>
    <w:rsid w:val="00DC0285"/>
    <w:rsid w:val="00DC11C9"/>
    <w:rsid w:val="00DD0F97"/>
    <w:rsid w:val="00DD2575"/>
    <w:rsid w:val="00DE2E3A"/>
    <w:rsid w:val="00DF00DF"/>
    <w:rsid w:val="00DF46CE"/>
    <w:rsid w:val="00E02741"/>
    <w:rsid w:val="00E05484"/>
    <w:rsid w:val="00E1076A"/>
    <w:rsid w:val="00E33A60"/>
    <w:rsid w:val="00E33E61"/>
    <w:rsid w:val="00E343AB"/>
    <w:rsid w:val="00E37CC0"/>
    <w:rsid w:val="00E410E7"/>
    <w:rsid w:val="00E41EC7"/>
    <w:rsid w:val="00E42C09"/>
    <w:rsid w:val="00E46C36"/>
    <w:rsid w:val="00E50361"/>
    <w:rsid w:val="00E51DAF"/>
    <w:rsid w:val="00E53BBB"/>
    <w:rsid w:val="00E57221"/>
    <w:rsid w:val="00E61302"/>
    <w:rsid w:val="00E61322"/>
    <w:rsid w:val="00E7144D"/>
    <w:rsid w:val="00E7585C"/>
    <w:rsid w:val="00E76953"/>
    <w:rsid w:val="00E858AD"/>
    <w:rsid w:val="00E85D5F"/>
    <w:rsid w:val="00E87705"/>
    <w:rsid w:val="00E95C28"/>
    <w:rsid w:val="00EB3406"/>
    <w:rsid w:val="00EB367D"/>
    <w:rsid w:val="00EB45B4"/>
    <w:rsid w:val="00EB6DC6"/>
    <w:rsid w:val="00EC0DC8"/>
    <w:rsid w:val="00EC20A3"/>
    <w:rsid w:val="00EC789A"/>
    <w:rsid w:val="00ED73F9"/>
    <w:rsid w:val="00EE1433"/>
    <w:rsid w:val="00EE2044"/>
    <w:rsid w:val="00EE2D40"/>
    <w:rsid w:val="00EE38CA"/>
    <w:rsid w:val="00EE46D1"/>
    <w:rsid w:val="00EE476F"/>
    <w:rsid w:val="00EF340A"/>
    <w:rsid w:val="00EF435F"/>
    <w:rsid w:val="00F06AA3"/>
    <w:rsid w:val="00F149D8"/>
    <w:rsid w:val="00F16595"/>
    <w:rsid w:val="00F1771F"/>
    <w:rsid w:val="00F23461"/>
    <w:rsid w:val="00F236E6"/>
    <w:rsid w:val="00F236F9"/>
    <w:rsid w:val="00F42469"/>
    <w:rsid w:val="00F427F3"/>
    <w:rsid w:val="00F44117"/>
    <w:rsid w:val="00F45D77"/>
    <w:rsid w:val="00F52508"/>
    <w:rsid w:val="00F550E4"/>
    <w:rsid w:val="00F67BD1"/>
    <w:rsid w:val="00F75C35"/>
    <w:rsid w:val="00F901D4"/>
    <w:rsid w:val="00FA28C1"/>
    <w:rsid w:val="00FA6D1A"/>
    <w:rsid w:val="00FC061C"/>
    <w:rsid w:val="00FD0D84"/>
    <w:rsid w:val="00FD6E6C"/>
    <w:rsid w:val="00FD760E"/>
    <w:rsid w:val="00FF16CB"/>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7DA6EC"/>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5CC5DA4B-66F4-44E0-ADE6-A28BF1F955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68691A"/>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1530B"/>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71530B"/>
    <w:rPr>
      <w:rFonts w:ascii="Times New Roman" w:hAnsi="Times New Roman" w:eastAsia="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styleId="mw-headline" w:customStyle="1">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hAnsi="Times New Roman" w:eastAsia="Times New Roman" w:cs="Times New Roman"/>
    </w:rPr>
  </w:style>
  <w:style w:type="character" w:styleId="scite-citeref-number" w:customStyle="1">
    <w:name w:val="scite-citeref-number"/>
    <w:basedOn w:val="DefaultParagraphFont"/>
    <w:rsid w:val="0071530B"/>
  </w:style>
  <w:style w:type="character" w:styleId="scite-referencelinks" w:customStyle="1">
    <w:name w:val="scite-referencelinks"/>
    <w:basedOn w:val="DefaultParagraphFont"/>
    <w:rsid w:val="0071530B"/>
  </w:style>
  <w:style w:type="character" w:styleId="scite-citation" w:customStyle="1">
    <w:name w:val="scite-citation"/>
    <w:basedOn w:val="DefaultParagraphFont"/>
    <w:rsid w:val="0071530B"/>
  </w:style>
  <w:style w:type="character" w:styleId="scite-citation-resourcelink" w:customStyle="1">
    <w:name w:val="scite-citation-resourcelink"/>
    <w:basedOn w:val="DefaultParagraphFont"/>
    <w:rsid w:val="0071530B"/>
  </w:style>
  <w:style w:type="character" w:styleId="scite-citation-text" w:customStyle="1">
    <w:name w:val="scite-citation-text"/>
    <w:basedOn w:val="DefaultParagraphFont"/>
    <w:rsid w:val="0071530B"/>
  </w:style>
  <w:style w:type="paragraph" w:styleId="paragraph" w:customStyle="1">
    <w:name w:val="paragraph"/>
    <w:basedOn w:val="Normal"/>
    <w:rsid w:val="0073644D"/>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3644D"/>
  </w:style>
  <w:style w:type="character" w:styleId="eop" w:customStyle="1">
    <w:name w:val="eop"/>
    <w:basedOn w:val="DefaultParagraphFont"/>
    <w:rsid w:val="0073644D"/>
  </w:style>
  <w:style w:type="character" w:styleId="spellingerror" w:customStyle="1">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styleId="Heading3Char" w:customStyle="1">
    <w:name w:val="Heading 3 Char"/>
    <w:basedOn w:val="DefaultParagraphFont"/>
    <w:link w:val="Heading3"/>
    <w:uiPriority w:val="9"/>
    <w:semiHidden/>
    <w:rsid w:val="0017483E"/>
    <w:rPr>
      <w:rFonts w:asciiTheme="majorHAnsi" w:hAnsiTheme="majorHAnsi" w:eastAsiaTheme="majorEastAsia" w:cstheme="majorBidi"/>
      <w:color w:val="1F3763" w:themeColor="accent1" w:themeShade="7F"/>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styleId="CommentTextChar" w:customStyle="1">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styleId="CommentSubjectChar" w:customStyle="1">
    <w:name w:val="Comment Subject Char"/>
    <w:basedOn w:val="CommentTextChar"/>
    <w:link w:val="CommentSubject"/>
    <w:uiPriority w:val="99"/>
    <w:semiHidden/>
    <w:rsid w:val="0061115D"/>
    <w:rPr>
      <w:b/>
      <w:bCs/>
      <w:sz w:val="20"/>
      <w:szCs w:val="20"/>
    </w:rPr>
  </w:style>
  <w:style w:type="character" w:styleId="apple-converted-space" w:customStyle="1">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styleId="HeaderChar" w:customStyle="1">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styleId="FooterChar" w:customStyle="1">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character" w:styleId="Heading4Char" w:customStyle="1">
    <w:name w:val="Heading 4 Char"/>
    <w:basedOn w:val="DefaultParagraphFont"/>
    <w:link w:val="Heading4"/>
    <w:uiPriority w:val="9"/>
    <w:semiHidden/>
    <w:rsid w:val="0068691A"/>
    <w:rPr>
      <w:rFonts w:asciiTheme="majorHAnsi" w:hAnsiTheme="majorHAnsi" w:eastAsiaTheme="majorEastAsia" w:cstheme="majorBidi"/>
      <w:i/>
      <w:iCs/>
      <w:color w:val="2F5496" w:themeColor="accent1" w:themeShade="BF"/>
    </w:rPr>
  </w:style>
  <w:style w:type="paragraph" w:styleId="B1" w:customStyle="1">
    <w:name w:val="B1"/>
    <w:basedOn w:val="List"/>
    <w:link w:val="B1Char1"/>
    <w:qFormat/>
    <w:rsid w:val="0068691A"/>
    <w:pPr>
      <w:overflowPunct w:val="0"/>
      <w:autoSpaceDE w:val="0"/>
      <w:autoSpaceDN w:val="0"/>
      <w:adjustRightInd w:val="0"/>
      <w:spacing w:after="180"/>
      <w:ind w:left="568" w:hanging="284"/>
      <w:contextualSpacing w:val="0"/>
      <w:textAlignment w:val="baseline"/>
    </w:pPr>
    <w:rPr>
      <w:rFonts w:ascii="Times New Roman" w:hAnsi="Times New Roman" w:eastAsia="Times New Roman" w:cs="Times New Roman"/>
      <w:sz w:val="20"/>
      <w:szCs w:val="20"/>
      <w:lang w:val="en-GB" w:eastAsia="x-none"/>
    </w:rPr>
  </w:style>
  <w:style w:type="character" w:styleId="B1Char1" w:customStyle="1">
    <w:name w:val="B1 Char1"/>
    <w:link w:val="B1"/>
    <w:qFormat/>
    <w:locked/>
    <w:rsid w:val="0068691A"/>
    <w:rPr>
      <w:rFonts w:ascii="Times New Roman" w:hAnsi="Times New Roman" w:eastAsia="Times New Roman" w:cs="Times New Roman"/>
      <w:sz w:val="20"/>
      <w:szCs w:val="20"/>
      <w:lang w:val="en-GB" w:eastAsia="x-none"/>
    </w:rPr>
  </w:style>
  <w:style w:type="paragraph" w:styleId="NO" w:customStyle="1">
    <w:name w:val="NO"/>
    <w:basedOn w:val="Normal"/>
    <w:link w:val="NOChar"/>
    <w:qFormat/>
    <w:rsid w:val="0068691A"/>
    <w:pPr>
      <w:keepLines/>
      <w:overflowPunct w:val="0"/>
      <w:autoSpaceDE w:val="0"/>
      <w:autoSpaceDN w:val="0"/>
      <w:adjustRightInd w:val="0"/>
      <w:spacing w:after="180"/>
      <w:ind w:left="1135" w:hanging="851"/>
      <w:textAlignment w:val="baseline"/>
    </w:pPr>
    <w:rPr>
      <w:rFonts w:ascii="Times New Roman" w:hAnsi="Times New Roman" w:eastAsia="Times New Roman" w:cs="Times New Roman"/>
      <w:sz w:val="20"/>
      <w:szCs w:val="20"/>
      <w:lang w:val="x-none"/>
    </w:rPr>
  </w:style>
  <w:style w:type="character" w:styleId="NOChar" w:customStyle="1">
    <w:name w:val="NO Char"/>
    <w:link w:val="NO"/>
    <w:qFormat/>
    <w:rsid w:val="0068691A"/>
    <w:rPr>
      <w:rFonts w:ascii="Times New Roman" w:hAnsi="Times New Roman" w:eastAsia="Times New Roman" w:cs="Times New Roman"/>
      <w:sz w:val="20"/>
      <w:szCs w:val="20"/>
      <w:lang w:val="x-none"/>
    </w:rPr>
  </w:style>
  <w:style w:type="paragraph" w:styleId="List">
    <w:name w:val="List"/>
    <w:basedOn w:val="Normal"/>
    <w:uiPriority w:val="99"/>
    <w:semiHidden/>
    <w:unhideWhenUsed/>
    <w:rsid w:val="0068691A"/>
    <w:pPr>
      <w:ind w:left="360" w:hanging="360"/>
      <w:contextualSpacing/>
    </w:pPr>
  </w:style>
  <w:style w:type="character" w:styleId="Emphasis">
    <w:name w:val="Emphasis"/>
    <w:basedOn w:val="DefaultParagraphFont"/>
    <w:uiPriority w:val="20"/>
    <w:qFormat/>
    <w:rsid w:val="000D59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8cf8075d9449411e"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EBA46B-A155-4FE5-96DF-3E65CB6DC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Andy Radle</dc:creator>
  <keywords/>
  <dc:description/>
  <lastModifiedBy>Andy Radle</lastModifiedBy>
  <revision>240</revision>
  <dcterms:created xsi:type="dcterms:W3CDTF">2022-01-11T03:56:00.0000000Z</dcterms:created>
  <dcterms:modified xsi:type="dcterms:W3CDTF">2022-07-27T13:08:01.9210642Z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