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3AAFE27" w:rsidR="4B0E0084" w:rsidRPr="009C2D05" w:rsidRDefault="00831E4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925E34">
        <w:rPr>
          <w:rFonts w:ascii="Arial" w:eastAsia="Arial" w:hAnsi="Arial" w:cs="Arial"/>
          <w:sz w:val="44"/>
          <w:szCs w:val="44"/>
        </w:rPr>
        <w:t>502</w:t>
      </w:r>
      <w:r w:rsidR="00D05AFC">
        <w:rPr>
          <w:rFonts w:ascii="Arial" w:eastAsia="Arial" w:hAnsi="Arial" w:cs="Arial"/>
          <w:sz w:val="44"/>
          <w:szCs w:val="44"/>
        </w:rPr>
        <w:t xml:space="preserve">2 </w:t>
      </w:r>
      <w:r w:rsidR="00B67D90" w:rsidRPr="00B67D90">
        <w:rPr>
          <w:rFonts w:ascii="Arial" w:eastAsia="Arial" w:hAnsi="Arial" w:cs="Arial"/>
          <w:sz w:val="44"/>
          <w:szCs w:val="44"/>
        </w:rPr>
        <w:t xml:space="preserve">Alter subscriber profile </w:t>
      </w:r>
    </w:p>
    <w:p w14:paraId="2DFA445B" w14:textId="460B2A10" w:rsidR="004E40F6" w:rsidRPr="00B02CE8" w:rsidRDefault="00E410E7" w:rsidP="004E40F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125330">
        <w:rPr>
          <w:rFonts w:ascii="Arial" w:eastAsia="Arial" w:hAnsi="Arial" w:cs="Arial"/>
        </w:rPr>
        <w:t>An a</w:t>
      </w:r>
      <w:r w:rsidR="0042747D" w:rsidRPr="0042747D">
        <w:rPr>
          <w:rFonts w:ascii="Arial" w:eastAsia="Arial" w:hAnsi="Arial" w:cs="Arial"/>
        </w:rPr>
        <w:t xml:space="preserve">dversary </w:t>
      </w:r>
      <w:r w:rsidR="00125330">
        <w:rPr>
          <w:rFonts w:ascii="Arial" w:eastAsia="Arial" w:hAnsi="Arial" w:cs="Arial"/>
        </w:rPr>
        <w:t xml:space="preserve">may </w:t>
      </w:r>
      <w:r w:rsidR="0042747D" w:rsidRPr="0042747D">
        <w:rPr>
          <w:rFonts w:ascii="Arial" w:eastAsia="Arial" w:hAnsi="Arial" w:cs="Arial"/>
        </w:rPr>
        <w:t>alter the subscriber profile to achieve fraud</w:t>
      </w:r>
      <w:r w:rsidR="00326A7B">
        <w:rPr>
          <w:rFonts w:ascii="Arial" w:eastAsia="Arial" w:hAnsi="Arial" w:cs="Arial"/>
        </w:rPr>
        <w:t>, via SB</w:t>
      </w:r>
      <w:r w:rsidR="008C5166">
        <w:rPr>
          <w:rFonts w:ascii="Arial" w:eastAsia="Arial" w:hAnsi="Arial" w:cs="Arial"/>
        </w:rPr>
        <w:t xml:space="preserve">I (Service Based </w:t>
      </w:r>
      <w:r w:rsidR="00B758EB">
        <w:rPr>
          <w:rFonts w:ascii="Arial" w:eastAsia="Arial" w:hAnsi="Arial" w:cs="Arial"/>
        </w:rPr>
        <w:t>Interfaces)</w:t>
      </w:r>
      <w:r w:rsidR="00326A7B">
        <w:rPr>
          <w:rFonts w:ascii="Arial" w:eastAsia="Arial" w:hAnsi="Arial" w:cs="Arial"/>
        </w:rPr>
        <w:t xml:space="preserve"> or OA&amp;M interfaces.</w:t>
      </w:r>
    </w:p>
    <w:p w14:paraId="10BF8429" w14:textId="77777777" w:rsidR="003422B8" w:rsidRPr="00B02CE8" w:rsidRDefault="003422B8" w:rsidP="004E40F6">
      <w:pPr>
        <w:rPr>
          <w:rFonts w:ascii="Arial" w:eastAsia="Arial" w:hAnsi="Arial" w:cs="Arial"/>
        </w:rPr>
      </w:pPr>
    </w:p>
    <w:p w14:paraId="46EB8AB9" w14:textId="413A89A3" w:rsidR="00342277" w:rsidRDefault="0007131A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subscriber profile is a mostly static set of data relating to a </w:t>
      </w:r>
      <w:r w:rsidR="00342277">
        <w:rPr>
          <w:rFonts w:ascii="Arial" w:eastAsia="Arial" w:hAnsi="Arial" w:cs="Arial"/>
          <w:lang w:val="en"/>
        </w:rPr>
        <w:t>device, such as</w:t>
      </w:r>
      <w:r w:rsidR="00052917">
        <w:rPr>
          <w:rFonts w:ascii="Arial" w:eastAsia="Arial" w:hAnsi="Arial" w:cs="Arial"/>
          <w:lang w:val="en"/>
        </w:rPr>
        <w:t xml:space="preserve">: phone number, </w:t>
      </w:r>
      <w:r w:rsidR="0081424C">
        <w:rPr>
          <w:rFonts w:ascii="Arial" w:eastAsia="Arial" w:hAnsi="Arial" w:cs="Arial"/>
          <w:lang w:val="en"/>
        </w:rPr>
        <w:t xml:space="preserve">group membership, </w:t>
      </w:r>
      <w:r w:rsidR="009307F2">
        <w:rPr>
          <w:rFonts w:ascii="Arial" w:eastAsia="Arial" w:hAnsi="Arial" w:cs="Arial"/>
          <w:lang w:val="en"/>
        </w:rPr>
        <w:t xml:space="preserve">data access configuration, and others. </w:t>
      </w:r>
      <w:r w:rsidR="00007482">
        <w:rPr>
          <w:rFonts w:ascii="Arial" w:eastAsia="Arial" w:hAnsi="Arial" w:cs="Arial"/>
          <w:lang w:val="en"/>
        </w:rPr>
        <w:t>The dynamic data is the serving AMF</w:t>
      </w:r>
      <w:r w:rsidR="007E418B">
        <w:rPr>
          <w:rFonts w:ascii="Arial" w:eastAsia="Arial" w:hAnsi="Arial" w:cs="Arial"/>
          <w:lang w:val="en"/>
        </w:rPr>
        <w:t xml:space="preserve"> (which is associated with a very </w:t>
      </w:r>
      <w:r w:rsidR="00D906AF">
        <w:rPr>
          <w:rFonts w:ascii="Arial" w:eastAsia="Arial" w:hAnsi="Arial" w:cs="Arial"/>
          <w:lang w:val="en"/>
        </w:rPr>
        <w:t>coarse</w:t>
      </w:r>
      <w:r w:rsidR="007E418B">
        <w:rPr>
          <w:rFonts w:ascii="Arial" w:eastAsia="Arial" w:hAnsi="Arial" w:cs="Arial"/>
          <w:lang w:val="en"/>
        </w:rPr>
        <w:t xml:space="preserve"> geographical location)</w:t>
      </w:r>
      <w:r w:rsidR="00007482">
        <w:rPr>
          <w:rFonts w:ascii="Arial" w:eastAsia="Arial" w:hAnsi="Arial" w:cs="Arial"/>
          <w:lang w:val="en"/>
        </w:rPr>
        <w:t xml:space="preserve">. </w:t>
      </w:r>
      <w:r w:rsidR="009307F2">
        <w:rPr>
          <w:rFonts w:ascii="Arial" w:eastAsia="Arial" w:hAnsi="Arial" w:cs="Arial"/>
          <w:lang w:val="en"/>
        </w:rPr>
        <w:t xml:space="preserve">This profile resides in the UDM. If the UDM is compromised, it can make any change to the </w:t>
      </w:r>
      <w:r w:rsidR="007E418B">
        <w:rPr>
          <w:rFonts w:ascii="Arial" w:eastAsia="Arial" w:hAnsi="Arial" w:cs="Arial"/>
          <w:lang w:val="en"/>
        </w:rPr>
        <w:t xml:space="preserve">user </w:t>
      </w:r>
      <w:r w:rsidR="009307F2">
        <w:rPr>
          <w:rFonts w:ascii="Arial" w:eastAsia="Arial" w:hAnsi="Arial" w:cs="Arial"/>
          <w:lang w:val="en"/>
        </w:rPr>
        <w:t xml:space="preserve">profile. </w:t>
      </w:r>
      <w:r w:rsidR="00007482">
        <w:rPr>
          <w:rFonts w:ascii="Arial" w:eastAsia="Arial" w:hAnsi="Arial" w:cs="Arial"/>
          <w:lang w:val="en"/>
        </w:rPr>
        <w:t xml:space="preserve">The AMF serving the UE can get a fresh copy of the subscriber profile. </w:t>
      </w:r>
    </w:p>
    <w:p w14:paraId="3E9625D1" w14:textId="77777777" w:rsidR="007E418B" w:rsidRDefault="007E418B" w:rsidP="00E410E7">
      <w:pPr>
        <w:rPr>
          <w:rFonts w:ascii="Arial" w:eastAsia="Arial" w:hAnsi="Arial" w:cs="Arial"/>
          <w:lang w:val="en"/>
        </w:rPr>
      </w:pPr>
    </w:p>
    <w:p w14:paraId="348EEFC6" w14:textId="6A1218EE" w:rsidR="00A94C1F" w:rsidRDefault="00976098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Another type of profile is</w:t>
      </w:r>
      <w:r w:rsidR="00A94C1F">
        <w:rPr>
          <w:rFonts w:ascii="Arial" w:eastAsia="Arial" w:hAnsi="Arial" w:cs="Arial"/>
          <w:lang w:val="en"/>
        </w:rPr>
        <w:t xml:space="preserve"> the </w:t>
      </w:r>
      <w:r w:rsidR="001E4739">
        <w:rPr>
          <w:rFonts w:ascii="Arial" w:eastAsia="Arial" w:hAnsi="Arial" w:cs="Arial"/>
          <w:lang w:val="en"/>
        </w:rPr>
        <w:t>“UE context</w:t>
      </w:r>
      <w:proofErr w:type="gramStart"/>
      <w:r w:rsidR="001E4739">
        <w:rPr>
          <w:rFonts w:ascii="Arial" w:eastAsia="Arial" w:hAnsi="Arial" w:cs="Arial"/>
          <w:lang w:val="en"/>
        </w:rPr>
        <w:t>”</w:t>
      </w:r>
      <w:r>
        <w:rPr>
          <w:rFonts w:ascii="Arial" w:eastAsia="Arial" w:hAnsi="Arial" w:cs="Arial"/>
          <w:lang w:val="en"/>
        </w:rPr>
        <w:t xml:space="preserve">, </w:t>
      </w:r>
      <w:r w:rsidR="007E418B">
        <w:rPr>
          <w:rFonts w:ascii="Arial" w:eastAsia="Arial" w:hAnsi="Arial" w:cs="Arial"/>
          <w:lang w:val="en"/>
        </w:rPr>
        <w:t>and</w:t>
      </w:r>
      <w:proofErr w:type="gramEnd"/>
      <w:r w:rsidR="007E418B">
        <w:rPr>
          <w:rFonts w:ascii="Arial" w:eastAsia="Arial" w:hAnsi="Arial" w:cs="Arial"/>
          <w:lang w:val="en"/>
        </w:rPr>
        <w:t xml:space="preserve"> is </w:t>
      </w:r>
      <w:r>
        <w:rPr>
          <w:rFonts w:ascii="Arial" w:eastAsia="Arial" w:hAnsi="Arial" w:cs="Arial"/>
          <w:lang w:val="en"/>
        </w:rPr>
        <w:t>also</w:t>
      </w:r>
      <w:r w:rsidR="001E4739">
        <w:rPr>
          <w:rFonts w:ascii="Arial" w:eastAsia="Arial" w:hAnsi="Arial" w:cs="Arial"/>
          <w:lang w:val="en"/>
        </w:rPr>
        <w:t xml:space="preserve"> </w:t>
      </w:r>
      <w:r w:rsidR="00FD1A27">
        <w:rPr>
          <w:rFonts w:ascii="Arial" w:eastAsia="Arial" w:hAnsi="Arial" w:cs="Arial"/>
          <w:lang w:val="en"/>
        </w:rPr>
        <w:t>held at the UDM</w:t>
      </w:r>
      <w:r>
        <w:rPr>
          <w:rFonts w:ascii="Arial" w:eastAsia="Arial" w:hAnsi="Arial" w:cs="Arial"/>
          <w:lang w:val="en"/>
        </w:rPr>
        <w:t>; it</w:t>
      </w:r>
      <w:r w:rsidR="00FD1A27">
        <w:rPr>
          <w:rFonts w:ascii="Arial" w:eastAsia="Arial" w:hAnsi="Arial" w:cs="Arial"/>
          <w:lang w:val="en"/>
        </w:rPr>
        <w:t xml:space="preserve"> </w:t>
      </w:r>
      <w:r w:rsidR="001E4739">
        <w:rPr>
          <w:rFonts w:ascii="Arial" w:eastAsia="Arial" w:hAnsi="Arial" w:cs="Arial"/>
          <w:lang w:val="en"/>
        </w:rPr>
        <w:t xml:space="preserve">is a dynamic </w:t>
      </w:r>
      <w:r>
        <w:rPr>
          <w:rFonts w:ascii="Arial" w:eastAsia="Arial" w:hAnsi="Arial" w:cs="Arial"/>
          <w:lang w:val="en"/>
        </w:rPr>
        <w:t>(</w:t>
      </w:r>
      <w:r w:rsidR="00001F93">
        <w:rPr>
          <w:rFonts w:ascii="Arial" w:eastAsia="Arial" w:hAnsi="Arial" w:cs="Arial"/>
          <w:lang w:val="en"/>
        </w:rPr>
        <w:t xml:space="preserve">valid for a session) </w:t>
      </w:r>
      <w:r w:rsidR="001E4739">
        <w:rPr>
          <w:rFonts w:ascii="Arial" w:eastAsia="Arial" w:hAnsi="Arial" w:cs="Arial"/>
          <w:lang w:val="en"/>
        </w:rPr>
        <w:t>set of data relating to the current state of the UE</w:t>
      </w:r>
      <w:r w:rsidR="009014DF">
        <w:rPr>
          <w:rFonts w:ascii="Arial" w:eastAsia="Arial" w:hAnsi="Arial" w:cs="Arial"/>
          <w:lang w:val="en"/>
        </w:rPr>
        <w:t xml:space="preserve">. The UE context </w:t>
      </w:r>
      <w:r w:rsidR="00FD1A27">
        <w:rPr>
          <w:rFonts w:ascii="Arial" w:eastAsia="Arial" w:hAnsi="Arial" w:cs="Arial"/>
          <w:lang w:val="en"/>
        </w:rPr>
        <w:t xml:space="preserve">can be modified in the UDM </w:t>
      </w:r>
      <w:r w:rsidR="00742DD9">
        <w:rPr>
          <w:rFonts w:ascii="Arial" w:eastAsia="Arial" w:hAnsi="Arial" w:cs="Arial"/>
          <w:lang w:val="en"/>
        </w:rPr>
        <w:t>legitimately by certain NF such as AMF and SMF.</w:t>
      </w:r>
    </w:p>
    <w:p w14:paraId="07304D64" w14:textId="77777777" w:rsidR="00342277" w:rsidRDefault="00342277" w:rsidP="00E410E7">
      <w:pPr>
        <w:rPr>
          <w:rFonts w:ascii="Arial" w:eastAsia="Arial" w:hAnsi="Arial" w:cs="Arial"/>
          <w:lang w:val="en"/>
        </w:rPr>
      </w:pPr>
    </w:p>
    <w:p w14:paraId="76A31CAB" w14:textId="2B727E23" w:rsidR="00A46B1C" w:rsidRDefault="00342277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 a</w:t>
      </w:r>
      <w:r w:rsidR="0042747D" w:rsidRPr="0042747D">
        <w:rPr>
          <w:rFonts w:ascii="Arial" w:eastAsia="Arial" w:hAnsi="Arial" w:cs="Arial"/>
          <w:lang w:val="en"/>
        </w:rPr>
        <w:t>dversary</w:t>
      </w:r>
      <w:r w:rsidR="002755B3">
        <w:rPr>
          <w:rFonts w:ascii="Arial" w:eastAsia="Arial" w:hAnsi="Arial" w:cs="Arial"/>
          <w:lang w:val="en"/>
        </w:rPr>
        <w:t xml:space="preserve"> in the core network</w:t>
      </w:r>
      <w:r w:rsidR="0042747D" w:rsidRPr="0042747D">
        <w:rPr>
          <w:rFonts w:ascii="Arial" w:eastAsia="Arial" w:hAnsi="Arial" w:cs="Arial"/>
          <w:lang w:val="en"/>
        </w:rPr>
        <w:t xml:space="preserve"> (</w:t>
      </w:r>
      <w:proofErr w:type="gramStart"/>
      <w:r w:rsidR="0042747D" w:rsidRPr="0042747D">
        <w:rPr>
          <w:rFonts w:ascii="Arial" w:eastAsia="Arial" w:hAnsi="Arial" w:cs="Arial"/>
          <w:lang w:val="en"/>
        </w:rPr>
        <w:t>e</w:t>
      </w:r>
      <w:r w:rsidR="00B72E73">
        <w:rPr>
          <w:rFonts w:ascii="Arial" w:eastAsia="Arial" w:hAnsi="Arial" w:cs="Arial"/>
          <w:lang w:val="en"/>
        </w:rPr>
        <w:t>.</w:t>
      </w:r>
      <w:r w:rsidR="0042747D" w:rsidRPr="0042747D">
        <w:rPr>
          <w:rFonts w:ascii="Arial" w:eastAsia="Arial" w:hAnsi="Arial" w:cs="Arial"/>
          <w:lang w:val="en"/>
        </w:rPr>
        <w:t>g.</w:t>
      </w:r>
      <w:proofErr w:type="gramEnd"/>
      <w:r w:rsidR="0042747D" w:rsidRPr="0042747D">
        <w:rPr>
          <w:rFonts w:ascii="Arial" w:eastAsia="Arial" w:hAnsi="Arial" w:cs="Arial"/>
          <w:lang w:val="en"/>
        </w:rPr>
        <w:t xml:space="preserve"> </w:t>
      </w:r>
      <w:r w:rsidR="005275FC">
        <w:rPr>
          <w:rFonts w:ascii="Arial" w:eastAsia="Arial" w:hAnsi="Arial" w:cs="Arial"/>
          <w:lang w:val="en"/>
        </w:rPr>
        <w:t>in control of a core NF such as</w:t>
      </w:r>
      <w:r w:rsidR="0042747D" w:rsidRPr="0042747D">
        <w:rPr>
          <w:rFonts w:ascii="Arial" w:eastAsia="Arial" w:hAnsi="Arial" w:cs="Arial"/>
          <w:lang w:val="en"/>
        </w:rPr>
        <w:t xml:space="preserve"> </w:t>
      </w:r>
      <w:r w:rsidR="00D50B6C">
        <w:rPr>
          <w:rFonts w:ascii="Arial" w:eastAsia="Arial" w:hAnsi="Arial" w:cs="Arial"/>
          <w:lang w:val="en"/>
        </w:rPr>
        <w:t xml:space="preserve">AMF, </w:t>
      </w:r>
      <w:r w:rsidR="0042747D" w:rsidRPr="0042747D">
        <w:rPr>
          <w:rFonts w:ascii="Arial" w:eastAsia="Arial" w:hAnsi="Arial" w:cs="Arial"/>
          <w:lang w:val="en"/>
        </w:rPr>
        <w:t xml:space="preserve">UDM </w:t>
      </w:r>
      <w:r w:rsidR="00FD3C8A">
        <w:rPr>
          <w:rFonts w:ascii="Arial" w:eastAsia="Arial" w:hAnsi="Arial" w:cs="Arial"/>
          <w:lang w:val="en"/>
        </w:rPr>
        <w:t>or</w:t>
      </w:r>
      <w:r w:rsidR="00FD3C8A" w:rsidRPr="0042747D">
        <w:rPr>
          <w:rFonts w:ascii="Arial" w:eastAsia="Arial" w:hAnsi="Arial" w:cs="Arial"/>
          <w:lang w:val="en"/>
        </w:rPr>
        <w:t xml:space="preserve"> </w:t>
      </w:r>
      <w:r w:rsidR="0042747D" w:rsidRPr="0042747D">
        <w:rPr>
          <w:rFonts w:ascii="Arial" w:eastAsia="Arial" w:hAnsi="Arial" w:cs="Arial"/>
          <w:lang w:val="en"/>
        </w:rPr>
        <w:t xml:space="preserve">PCF) </w:t>
      </w:r>
      <w:r w:rsidR="00B72E73">
        <w:rPr>
          <w:rFonts w:ascii="Arial" w:eastAsia="Arial" w:hAnsi="Arial" w:cs="Arial"/>
          <w:lang w:val="en"/>
        </w:rPr>
        <w:t>can</w:t>
      </w:r>
      <w:r w:rsidR="0042747D" w:rsidRPr="0042747D">
        <w:rPr>
          <w:rFonts w:ascii="Arial" w:eastAsia="Arial" w:hAnsi="Arial" w:cs="Arial"/>
          <w:lang w:val="en"/>
        </w:rPr>
        <w:t xml:space="preserve"> retrieve subscriber profile</w:t>
      </w:r>
      <w:r w:rsidR="009E4B88">
        <w:rPr>
          <w:rFonts w:ascii="Arial" w:eastAsia="Arial" w:hAnsi="Arial" w:cs="Arial"/>
          <w:lang w:val="en"/>
        </w:rPr>
        <w:t xml:space="preserve"> from </w:t>
      </w:r>
      <w:r w:rsidR="00982D52">
        <w:rPr>
          <w:rFonts w:ascii="Arial" w:eastAsia="Arial" w:hAnsi="Arial" w:cs="Arial"/>
          <w:lang w:val="en"/>
        </w:rPr>
        <w:t xml:space="preserve">the repository </w:t>
      </w:r>
      <w:r w:rsidR="009E4B88">
        <w:rPr>
          <w:rFonts w:ascii="Arial" w:eastAsia="Arial" w:hAnsi="Arial" w:cs="Arial"/>
          <w:lang w:val="en"/>
        </w:rPr>
        <w:t>UDM/UDR</w:t>
      </w:r>
      <w:r w:rsidR="001E4739">
        <w:rPr>
          <w:rFonts w:ascii="Arial" w:eastAsia="Arial" w:hAnsi="Arial" w:cs="Arial"/>
          <w:lang w:val="en"/>
        </w:rPr>
        <w:t xml:space="preserve">, and may be able to </w:t>
      </w:r>
      <w:r w:rsidR="00292FD5">
        <w:rPr>
          <w:rFonts w:ascii="Arial" w:eastAsia="Arial" w:hAnsi="Arial" w:cs="Arial"/>
          <w:lang w:val="en"/>
        </w:rPr>
        <w:t>alter at least part of it, e.g., AMF can update the</w:t>
      </w:r>
      <w:r w:rsidR="00FD3C8A">
        <w:rPr>
          <w:rFonts w:ascii="Arial" w:eastAsia="Arial" w:hAnsi="Arial" w:cs="Arial"/>
          <w:lang w:val="en"/>
        </w:rPr>
        <w:t xml:space="preserve"> serving AMF</w:t>
      </w:r>
      <w:r w:rsidR="00BE5A05">
        <w:rPr>
          <w:rFonts w:ascii="Arial" w:eastAsia="Arial" w:hAnsi="Arial" w:cs="Arial"/>
          <w:lang w:val="en"/>
        </w:rPr>
        <w:t xml:space="preserve"> entry</w:t>
      </w:r>
      <w:r w:rsidR="00FE6C49">
        <w:rPr>
          <w:rFonts w:ascii="Arial" w:eastAsia="Arial" w:hAnsi="Arial" w:cs="Arial"/>
          <w:lang w:val="en"/>
        </w:rPr>
        <w:t>.</w:t>
      </w:r>
      <w:r w:rsidR="00D50B6C">
        <w:rPr>
          <w:rFonts w:ascii="Arial" w:eastAsia="Arial" w:hAnsi="Arial" w:cs="Arial"/>
          <w:lang w:val="en"/>
        </w:rPr>
        <w:t xml:space="preserve"> </w:t>
      </w:r>
      <w:r w:rsidR="00292FD5">
        <w:rPr>
          <w:rFonts w:ascii="Arial" w:eastAsia="Arial" w:hAnsi="Arial" w:cs="Arial"/>
          <w:lang w:val="en"/>
        </w:rPr>
        <w:t>The UDM can naturally alter any portion of the profile.</w:t>
      </w:r>
    </w:p>
    <w:p w14:paraId="436BE6AB" w14:textId="77777777" w:rsidR="00001F93" w:rsidRDefault="00001F93" w:rsidP="00E410E7">
      <w:pPr>
        <w:rPr>
          <w:rFonts w:ascii="Arial" w:eastAsia="Arial" w:hAnsi="Arial" w:cs="Arial"/>
          <w:lang w:val="en"/>
        </w:rPr>
      </w:pPr>
    </w:p>
    <w:p w14:paraId="124A3877" w14:textId="3140C79B" w:rsidR="0071179C" w:rsidRDefault="009A6B02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 OA&amp;M based attack</w:t>
      </w:r>
      <w:r w:rsidR="008476AC">
        <w:rPr>
          <w:rFonts w:ascii="Arial" w:eastAsia="Arial" w:hAnsi="Arial" w:cs="Arial"/>
          <w:lang w:val="en"/>
        </w:rPr>
        <w:t xml:space="preserve"> (</w:t>
      </w:r>
      <w:r w:rsidR="00292FD5">
        <w:rPr>
          <w:rFonts w:ascii="Arial" w:eastAsia="Arial" w:hAnsi="Arial" w:cs="Arial"/>
          <w:lang w:val="en"/>
        </w:rPr>
        <w:t xml:space="preserve">adversary has </w:t>
      </w:r>
      <w:r w:rsidR="008476AC">
        <w:rPr>
          <w:rFonts w:ascii="Arial" w:eastAsia="Arial" w:hAnsi="Arial" w:cs="Arial"/>
          <w:lang w:val="en"/>
        </w:rPr>
        <w:t>access to the provisioning interface)</w:t>
      </w:r>
      <w:r>
        <w:rPr>
          <w:rFonts w:ascii="Arial" w:eastAsia="Arial" w:hAnsi="Arial" w:cs="Arial"/>
          <w:lang w:val="en"/>
        </w:rPr>
        <w:t xml:space="preserve"> on the UDM</w:t>
      </w:r>
      <w:r w:rsidR="008476AC">
        <w:rPr>
          <w:rFonts w:ascii="Arial" w:eastAsia="Arial" w:hAnsi="Arial" w:cs="Arial"/>
          <w:lang w:val="en"/>
        </w:rPr>
        <w:t>/UDR</w:t>
      </w:r>
      <w:r w:rsidR="00326A7B">
        <w:rPr>
          <w:rFonts w:ascii="Arial" w:eastAsia="Arial" w:hAnsi="Arial" w:cs="Arial"/>
          <w:lang w:val="en"/>
        </w:rPr>
        <w:t xml:space="preserve"> would </w:t>
      </w:r>
      <w:r w:rsidR="00FF4912">
        <w:rPr>
          <w:rFonts w:ascii="Arial" w:eastAsia="Arial" w:hAnsi="Arial" w:cs="Arial"/>
          <w:lang w:val="en"/>
        </w:rPr>
        <w:t>allow</w:t>
      </w:r>
      <w:r w:rsidR="00326A7B">
        <w:rPr>
          <w:rFonts w:ascii="Arial" w:eastAsia="Arial" w:hAnsi="Arial" w:cs="Arial"/>
          <w:lang w:val="en"/>
        </w:rPr>
        <w:t xml:space="preserve"> </w:t>
      </w:r>
      <w:r w:rsidR="00C075F5">
        <w:rPr>
          <w:rFonts w:ascii="Arial" w:eastAsia="Arial" w:hAnsi="Arial" w:cs="Arial"/>
          <w:lang w:val="en"/>
        </w:rPr>
        <w:t>all changes to the UE profile</w:t>
      </w:r>
      <w:r w:rsidR="00FF4912">
        <w:rPr>
          <w:rFonts w:ascii="Arial" w:eastAsia="Arial" w:hAnsi="Arial" w:cs="Arial"/>
          <w:lang w:val="en"/>
        </w:rPr>
        <w:t xml:space="preserve"> (e.g., </w:t>
      </w:r>
      <w:r w:rsidR="00FF4912" w:rsidRPr="0042747D">
        <w:rPr>
          <w:rFonts w:ascii="Arial" w:eastAsia="Arial" w:hAnsi="Arial" w:cs="Arial"/>
          <w:lang w:val="en"/>
        </w:rPr>
        <w:t>change from post-paid to pre-paid or vice-versa</w:t>
      </w:r>
      <w:r w:rsidR="00FF4912">
        <w:rPr>
          <w:rFonts w:ascii="Arial" w:eastAsia="Arial" w:hAnsi="Arial" w:cs="Arial"/>
          <w:lang w:val="en"/>
        </w:rPr>
        <w:t>)</w:t>
      </w:r>
      <w:r w:rsidR="002C20C5">
        <w:rPr>
          <w:rFonts w:ascii="Arial" w:eastAsia="Arial" w:hAnsi="Arial" w:cs="Arial"/>
          <w:lang w:val="en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77791C24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72E73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72E73">
        <w:rPr>
          <w:rFonts w:ascii="Arial" w:eastAsia="Arial" w:hAnsi="Arial" w:cs="Arial"/>
        </w:rPr>
        <w:t xml:space="preserve">: </w:t>
      </w:r>
      <w:r w:rsidR="00070875">
        <w:rPr>
          <w:rFonts w:ascii="Arial" w:eastAsia="Arial" w:hAnsi="Arial" w:cs="Arial"/>
        </w:rPr>
        <w:t>None</w:t>
      </w:r>
      <w:r w:rsidR="00655C5B" w:rsidRPr="009C2D05">
        <w:rPr>
          <w:rFonts w:ascii="Arial" w:eastAsia="Arial" w:hAnsi="Arial" w:cs="Arial"/>
        </w:rPr>
        <w:t xml:space="preserve"> </w:t>
      </w:r>
    </w:p>
    <w:p w14:paraId="1B8F05CE" w14:textId="165D01DC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B02CE8">
        <w:rPr>
          <w:rFonts w:ascii="Arial" w:eastAsia="Arial" w:hAnsi="Arial" w:cs="Arial"/>
        </w:rPr>
        <w:t xml:space="preserve">Fraud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5D48304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72E73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42747D">
        <w:rPr>
          <w:rFonts w:ascii="Arial" w:eastAsia="Arial" w:hAnsi="Arial" w:cs="Arial"/>
        </w:rPr>
        <w:t>Control</w:t>
      </w:r>
      <w:r w:rsidR="00B72E73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9B72F1">
        <w:rPr>
          <w:rFonts w:ascii="Arial" w:eastAsia="Arial" w:hAnsi="Arial" w:cs="Arial"/>
        </w:rPr>
        <w:t>, OA&amp;M</w:t>
      </w:r>
    </w:p>
    <w:p w14:paraId="264F76E1" w14:textId="013C5595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</w:t>
      </w:r>
      <w:r w:rsidR="00B72E73">
        <w:rPr>
          <w:rFonts w:ascii="Arial" w:eastAsia="Arial" w:hAnsi="Arial" w:cs="Arial"/>
        </w:rPr>
        <w:t>(s)</w:t>
      </w:r>
      <w:r w:rsidRPr="00DA1E92">
        <w:rPr>
          <w:rFonts w:ascii="Arial" w:eastAsia="Arial" w:hAnsi="Arial" w:cs="Arial"/>
        </w:rPr>
        <w:t xml:space="preserve">: </w:t>
      </w:r>
      <w:r w:rsidR="002755B3">
        <w:rPr>
          <w:rFonts w:ascii="Arial" w:eastAsia="Arial" w:hAnsi="Arial" w:cs="Arial"/>
        </w:rPr>
        <w:t>5G Network</w:t>
      </w:r>
    </w:p>
    <w:p w14:paraId="52F75D46" w14:textId="4269A08F" w:rsidR="004A76DF" w:rsidRPr="009C2D05" w:rsidRDefault="00B72E7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 xml:space="preserve">Access type </w:t>
      </w:r>
      <w:proofErr w:type="gramStart"/>
      <w:r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>:</w:t>
      </w:r>
      <w:proofErr w:type="gramEnd"/>
      <w:r w:rsidR="00F149D8"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639E3B6A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140978">
        <w:rPr>
          <w:rFonts w:ascii="Arial" w:eastAsia="Arial" w:hAnsi="Arial" w:cs="Arial"/>
        </w:rPr>
        <w:t>UDM/UDR logs</w:t>
      </w:r>
    </w:p>
    <w:p w14:paraId="7AE56E16" w14:textId="6941785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72E73" w:rsidRPr="00B72E73">
        <w:t xml:space="preserve"> </w:t>
      </w:r>
      <w:r w:rsidR="00B72E73" w:rsidRPr="00B72E73">
        <w:rPr>
          <w:rFonts w:ascii="Arial" w:eastAsia="Arial" w:hAnsi="Arial" w:cs="Arial"/>
        </w:rPr>
        <w:t>Proof of concept</w:t>
      </w:r>
      <w:r w:rsidR="00B72E73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B02CE8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24E43941" w:rsidR="007F6957" w:rsidRPr="009C2D05" w:rsidRDefault="2CEB8C05" w:rsidP="5986D52C">
      <w:pPr>
        <w:rPr>
          <w:rFonts w:ascii="Arial" w:eastAsia="Arial" w:hAnsi="Arial" w:cs="Arial"/>
        </w:rPr>
      </w:pPr>
      <w:r w:rsidRPr="1A074797">
        <w:rPr>
          <w:rFonts w:ascii="Arial" w:eastAsia="Arial" w:hAnsi="Arial" w:cs="Arial"/>
        </w:rPr>
        <w:t>Procedure 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62A85" w14:paraId="2845C53F" w14:textId="77777777" w:rsidTr="00613538">
        <w:tc>
          <w:tcPr>
            <w:tcW w:w="4680" w:type="dxa"/>
          </w:tcPr>
          <w:p w14:paraId="79B4C725" w14:textId="0F76A2ED" w:rsidR="5986D52C" w:rsidRPr="00B62A8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62A8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00292B28" w:rsidRPr="00B62A85" w14:paraId="275F8AC8" w14:textId="77777777" w:rsidTr="00613538">
        <w:tc>
          <w:tcPr>
            <w:tcW w:w="4680" w:type="dxa"/>
          </w:tcPr>
          <w:p w14:paraId="0F710DF7" w14:textId="5181F8B9" w:rsidR="00292B28" w:rsidRPr="00B62A85" w:rsidRDefault="00292B28" w:rsidP="5986D52C">
            <w:pPr>
              <w:rPr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>AMF</w:t>
            </w:r>
            <w:r w:rsidR="006A2C86">
              <w:rPr>
                <w:rFonts w:ascii="Arial" w:eastAsia="Arial" w:hAnsi="Arial" w:cs="Arial"/>
                <w:sz w:val="16"/>
                <w:szCs w:val="16"/>
              </w:rPr>
              <w:t xml:space="preserve"> or SMF 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>modif</w:t>
            </w:r>
            <w:r w:rsidR="007904DC">
              <w:rPr>
                <w:rFonts w:ascii="Arial" w:eastAsia="Arial" w:hAnsi="Arial" w:cs="Arial"/>
                <w:sz w:val="16"/>
                <w:szCs w:val="16"/>
              </w:rPr>
              <w:t>ies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UE context.</w:t>
            </w:r>
          </w:p>
        </w:tc>
        <w:tc>
          <w:tcPr>
            <w:tcW w:w="4680" w:type="dxa"/>
          </w:tcPr>
          <w:p w14:paraId="7F3174EC" w14:textId="086EB8CB" w:rsidR="00292B28" w:rsidRPr="00B62A85" w:rsidRDefault="006A2C86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AMF/SMF can use </w:t>
            </w:r>
            <w:proofErr w:type="spellStart"/>
            <w:r w:rsidRPr="00B62A85">
              <w:rPr>
                <w:rFonts w:ascii="Arial" w:eastAsia="Arial" w:hAnsi="Arial" w:cs="Arial"/>
                <w:sz w:val="16"/>
                <w:szCs w:val="16"/>
              </w:rPr>
              <w:t>Nudm_UECM_Update</w:t>
            </w:r>
            <w:proofErr w:type="spellEnd"/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to modify UE context in the 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486547" w:rsidRPr="00B62A85">
              <w:rPr>
                <w:rFonts w:ascii="Arial" w:eastAsia="Arial" w:hAnsi="Arial" w:cs="Arial"/>
                <w:sz w:val="16"/>
                <w:szCs w:val="16"/>
              </w:rPr>
              <w:t xml:space="preserve">AMF or SMF can change some parameters in the UE context (which is like a subscriber profile, but </w:t>
            </w:r>
            <w:r w:rsidR="00445B01" w:rsidRPr="00B62A85">
              <w:rPr>
                <w:rFonts w:ascii="Arial" w:eastAsia="Arial" w:hAnsi="Arial" w:cs="Arial"/>
                <w:sz w:val="16"/>
                <w:szCs w:val="16"/>
              </w:rPr>
              <w:t>valid only for a session;</w:t>
            </w:r>
            <w:r w:rsidR="00FA57BD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936D4D" w:rsidRPr="00B62A85">
              <w:rPr>
                <w:rFonts w:ascii="Arial" w:eastAsia="Arial" w:hAnsi="Arial" w:cs="Arial"/>
                <w:sz w:val="16"/>
                <w:szCs w:val="16"/>
              </w:rPr>
              <w:t xml:space="preserve"> 5.2.3</w:t>
            </w:r>
            <w:r w:rsidR="008B3727" w:rsidRPr="00B62A85">
              <w:rPr>
                <w:rFonts w:ascii="Arial" w:eastAsia="Arial" w:hAnsi="Arial" w:cs="Arial"/>
                <w:sz w:val="16"/>
                <w:szCs w:val="16"/>
              </w:rPr>
              <w:t>.2.5</w:t>
            </w:r>
            <w:r w:rsidR="00936D4D" w:rsidRPr="00B62A85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r w:rsidR="009B75DC">
              <w:rPr>
                <w:rFonts w:ascii="Arial" w:eastAsia="Arial" w:hAnsi="Arial" w:cs="Arial"/>
                <w:sz w:val="16"/>
                <w:szCs w:val="16"/>
              </w:rPr>
              <w:t>[3].</w:t>
            </w:r>
            <w:r w:rsidR="00252297" w:rsidRPr="00B62A85">
              <w:rPr>
                <w:rFonts w:ascii="Arial" w:eastAsia="Arial" w:hAnsi="Arial" w:cs="Arial"/>
                <w:sz w:val="16"/>
                <w:szCs w:val="16"/>
              </w:rPr>
              <w:t xml:space="preserve"> The parameters </w:t>
            </w:r>
            <w:proofErr w:type="gramStart"/>
            <w:r w:rsidR="00252297" w:rsidRPr="00B62A85">
              <w:rPr>
                <w:rFonts w:ascii="Arial" w:eastAsia="Arial" w:hAnsi="Arial" w:cs="Arial"/>
                <w:sz w:val="16"/>
                <w:szCs w:val="16"/>
              </w:rPr>
              <w:t>are:</w:t>
            </w:r>
            <w:proofErr w:type="gramEnd"/>
            <w:r w:rsidR="00252297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D57C3" w:rsidRPr="00B62A85">
              <w:rPr>
                <w:rFonts w:ascii="Arial" w:eastAsia="Arial" w:hAnsi="Arial" w:cs="Arial"/>
                <w:sz w:val="16"/>
                <w:szCs w:val="16"/>
              </w:rPr>
              <w:t>PEI</w:t>
            </w:r>
            <w:r w:rsidR="009B75DC">
              <w:rPr>
                <w:rFonts w:ascii="Arial" w:eastAsia="Arial" w:hAnsi="Arial" w:cs="Arial"/>
                <w:sz w:val="16"/>
                <w:szCs w:val="16"/>
              </w:rPr>
              <w:t xml:space="preserve"> (Permanent Equipment Identifier)</w:t>
            </w:r>
            <w:r w:rsidR="00ED57C3" w:rsidRPr="00B62A85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 w:rsidR="00FA33FE" w:rsidRPr="00B62A85">
              <w:rPr>
                <w:rFonts w:ascii="Arial" w:eastAsia="Arial" w:hAnsi="Arial" w:cs="Arial"/>
                <w:sz w:val="16"/>
                <w:szCs w:val="16"/>
              </w:rPr>
              <w:t>analyticsID</w:t>
            </w:r>
            <w:proofErr w:type="spellEnd"/>
            <w:r w:rsidR="00FA33FE" w:rsidRPr="00B62A85">
              <w:rPr>
                <w:rFonts w:ascii="Arial" w:eastAsia="Arial" w:hAnsi="Arial" w:cs="Arial"/>
                <w:sz w:val="16"/>
                <w:szCs w:val="16"/>
              </w:rPr>
              <w:t xml:space="preserve"> (for NWDAF), </w:t>
            </w:r>
            <w:r w:rsidR="00BB72AA" w:rsidRPr="00B62A85">
              <w:rPr>
                <w:rFonts w:ascii="Arial" w:eastAsia="Arial" w:hAnsi="Arial" w:cs="Arial"/>
                <w:sz w:val="16"/>
                <w:szCs w:val="16"/>
              </w:rPr>
              <w:t>UE capabilities, Intersystem continuity context, SM</w:t>
            </w:r>
            <w:r w:rsidR="009B75DC">
              <w:rPr>
                <w:rFonts w:ascii="Arial" w:eastAsia="Arial" w:hAnsi="Arial" w:cs="Arial"/>
                <w:sz w:val="16"/>
                <w:szCs w:val="16"/>
              </w:rPr>
              <w:t>F F</w:t>
            </w:r>
            <w:r w:rsidR="00BB72AA" w:rsidRPr="00B62A85">
              <w:rPr>
                <w:rFonts w:ascii="Arial" w:eastAsia="Arial" w:hAnsi="Arial" w:cs="Arial"/>
                <w:sz w:val="16"/>
                <w:szCs w:val="16"/>
              </w:rPr>
              <w:t>QDN</w:t>
            </w:r>
          </w:p>
        </w:tc>
      </w:tr>
      <w:tr w:rsidR="00507136" w:rsidRPr="00B62A85" w14:paraId="6E860571" w14:textId="77777777" w:rsidTr="00613538">
        <w:tc>
          <w:tcPr>
            <w:tcW w:w="4680" w:type="dxa"/>
          </w:tcPr>
          <w:p w14:paraId="4B07FD01" w14:textId="07F2E50C" w:rsidR="00507136" w:rsidRPr="00B62A85" w:rsidRDefault="00E9656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Rogue 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>AF/NEF modif</w:t>
            </w:r>
            <w:r w:rsidR="00454648">
              <w:rPr>
                <w:rFonts w:ascii="Arial" w:eastAsia="Arial" w:hAnsi="Arial" w:cs="Arial"/>
                <w:sz w:val="16"/>
                <w:szCs w:val="16"/>
              </w:rPr>
              <w:t>ies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 xml:space="preserve"> UE</w:t>
            </w:r>
            <w:r w:rsidR="00D72CBA" w:rsidRPr="00B62A85">
              <w:rPr>
                <w:rFonts w:ascii="Arial" w:eastAsia="Arial" w:hAnsi="Arial" w:cs="Arial"/>
                <w:sz w:val="16"/>
                <w:szCs w:val="16"/>
              </w:rPr>
              <w:t>’s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A3F45" w:rsidRPr="00B62A85">
              <w:rPr>
                <w:rFonts w:ascii="Arial" w:eastAsia="Arial" w:hAnsi="Arial" w:cs="Arial"/>
                <w:sz w:val="16"/>
                <w:szCs w:val="16"/>
              </w:rPr>
              <w:t>config</w:t>
            </w:r>
            <w:r w:rsidR="00454648">
              <w:rPr>
                <w:rFonts w:ascii="Arial" w:eastAsia="Arial" w:hAnsi="Arial" w:cs="Arial"/>
                <w:sz w:val="16"/>
                <w:szCs w:val="16"/>
              </w:rPr>
              <w:t>uration</w:t>
            </w:r>
            <w:r w:rsidR="00AA3F45" w:rsidRPr="00B62A85">
              <w:rPr>
                <w:rFonts w:ascii="Arial" w:eastAsia="Arial" w:hAnsi="Arial" w:cs="Arial"/>
                <w:sz w:val="16"/>
                <w:szCs w:val="16"/>
              </w:rPr>
              <w:t xml:space="preserve"> for a given </w:t>
            </w:r>
            <w:r w:rsidR="00FE6C49" w:rsidRPr="00B62A85">
              <w:rPr>
                <w:rFonts w:ascii="Arial" w:eastAsia="Arial" w:hAnsi="Arial" w:cs="Arial"/>
                <w:sz w:val="16"/>
                <w:szCs w:val="16"/>
              </w:rPr>
              <w:t>external service</w:t>
            </w:r>
            <w:r w:rsidR="0056673F" w:rsidRPr="00B62A85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A56B6E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C81E6F5" w14:textId="37068E34" w:rsidR="00507136" w:rsidRPr="00B62A85" w:rsidRDefault="0045464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>Rogue AF/NEF via UDM can modify UE’s config</w:t>
            </w:r>
            <w:r>
              <w:rPr>
                <w:rFonts w:ascii="Arial" w:eastAsia="Arial" w:hAnsi="Arial" w:cs="Arial"/>
                <w:sz w:val="16"/>
                <w:szCs w:val="16"/>
              </w:rPr>
              <w:t>uration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for a given external service (</w:t>
            </w:r>
            <w:proofErr w:type="gramStart"/>
            <w:r w:rsidRPr="00B62A85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pay for video for a game today). When the victim UE changes state from idle mode to connected mode, it will receive the modified services which may be inferior to the services originally provisioned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Example: </w:t>
            </w:r>
            <w:r w:rsidR="008758DD" w:rsidRPr="00B62A85">
              <w:rPr>
                <w:rFonts w:ascii="Arial" w:eastAsia="Arial" w:hAnsi="Arial" w:cs="Arial"/>
                <w:sz w:val="16"/>
                <w:szCs w:val="16"/>
              </w:rPr>
              <w:t xml:space="preserve">NEF can use </w:t>
            </w:r>
            <w:proofErr w:type="spellStart"/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t>Nudm_ParameterProvision</w:t>
            </w:r>
            <w:proofErr w:type="spellEnd"/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t xml:space="preserve"> update 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service </w:t>
            </w:r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update UE 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subscription data. </w:t>
            </w:r>
            <w:r w:rsidR="00D23509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 xml:space="preserve">5.6.2.2 of </w:t>
            </w:r>
            <w:r w:rsidR="00833C41">
              <w:rPr>
                <w:rFonts w:ascii="Arial" w:eastAsia="Arial" w:hAnsi="Arial" w:cs="Arial"/>
                <w:sz w:val="16"/>
                <w:szCs w:val="16"/>
              </w:rPr>
              <w:t>[4]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 &amp; </w:t>
            </w:r>
            <w:r w:rsidR="00D23509">
              <w:rPr>
                <w:rFonts w:ascii="Arial" w:eastAsia="Arial" w:hAnsi="Arial" w:cs="Arial"/>
                <w:sz w:val="16"/>
                <w:szCs w:val="16"/>
              </w:rPr>
              <w:t xml:space="preserve">clauses </w:t>
            </w:r>
            <w:r w:rsidR="005E7800" w:rsidRPr="00B62A85">
              <w:rPr>
                <w:rFonts w:ascii="Arial" w:eastAsia="Arial" w:hAnsi="Arial" w:cs="Arial"/>
                <w:sz w:val="16"/>
                <w:szCs w:val="16"/>
              </w:rPr>
              <w:t>4.15.6.2</w:t>
            </w:r>
            <w:r w:rsidR="00E809DF" w:rsidRPr="00B62A85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BA1C39" w:rsidRPr="00B62A85">
              <w:rPr>
                <w:rFonts w:ascii="Arial" w:eastAsia="Arial" w:hAnsi="Arial" w:cs="Arial"/>
                <w:sz w:val="16"/>
                <w:szCs w:val="16"/>
              </w:rPr>
              <w:t>4.15.6.3</w:t>
            </w:r>
            <w:r w:rsidR="00E809DF" w:rsidRPr="00B62A85">
              <w:rPr>
                <w:rFonts w:ascii="Arial" w:eastAsia="Arial" w:hAnsi="Arial" w:cs="Arial"/>
                <w:sz w:val="16"/>
                <w:szCs w:val="16"/>
              </w:rPr>
              <w:t>, 4.15.6.3a</w:t>
            </w:r>
            <w:r w:rsidR="005E7800" w:rsidRPr="00B62A85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r w:rsidR="00D23509">
              <w:rPr>
                <w:rFonts w:ascii="Arial" w:eastAsia="Arial" w:hAnsi="Arial" w:cs="Arial"/>
                <w:sz w:val="16"/>
                <w:szCs w:val="16"/>
              </w:rPr>
              <w:t>[3]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B62A85" w14:paraId="1D9C927D" w14:textId="77777777" w:rsidTr="00613538">
        <w:tc>
          <w:tcPr>
            <w:tcW w:w="4680" w:type="dxa"/>
          </w:tcPr>
          <w:p w14:paraId="2C8CF783" w14:textId="0D384526" w:rsidR="00397724" w:rsidRPr="00B62A85" w:rsidRDefault="001161A9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Compromised OA&amp;M can </w:t>
            </w:r>
            <w:r w:rsidR="007E4961" w:rsidRPr="00B62A85">
              <w:rPr>
                <w:rFonts w:ascii="Arial" w:eastAsia="Arial" w:hAnsi="Arial" w:cs="Arial"/>
                <w:sz w:val="16"/>
                <w:szCs w:val="16"/>
              </w:rPr>
              <w:t>modify subscriber profile data in UDR</w:t>
            </w:r>
          </w:p>
        </w:tc>
        <w:tc>
          <w:tcPr>
            <w:tcW w:w="4680" w:type="dxa"/>
          </w:tcPr>
          <w:p w14:paraId="37003275" w14:textId="0F8FFE6D" w:rsidR="00397724" w:rsidRPr="00B62A85" w:rsidRDefault="007E4961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Compromised GUI or CLI based attack on </w:t>
            </w:r>
            <w:r w:rsidR="00D9068E" w:rsidRPr="00B62A85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F92C5B" w:rsidRPr="00B62A85">
              <w:rPr>
                <w:rFonts w:ascii="Arial" w:eastAsia="Arial" w:hAnsi="Arial" w:cs="Arial"/>
                <w:sz w:val="16"/>
                <w:szCs w:val="16"/>
              </w:rPr>
              <w:t>ubs</w:t>
            </w:r>
            <w:r w:rsidR="00D9068E" w:rsidRPr="00B62A85">
              <w:rPr>
                <w:rFonts w:ascii="Arial" w:eastAsia="Arial" w:hAnsi="Arial" w:cs="Arial"/>
                <w:sz w:val="16"/>
                <w:szCs w:val="16"/>
              </w:rPr>
              <w:t>criber database in UDR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BD1AD98" w:rsidR="5986D52C" w:rsidRPr="009C2D05" w:rsidRDefault="00B5703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A344004" w:rsidR="5986D52C" w:rsidRPr="009C2D05" w:rsidRDefault="00B5703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F89A8AA" w:rsidR="00E076BC" w:rsidRPr="009C2D05" w:rsidRDefault="0014097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EC22DA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F70CC6"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4680" w:type="dxa"/>
          </w:tcPr>
          <w:p w14:paraId="42822027" w14:textId="65E6FDDC" w:rsidR="00E076BC" w:rsidRPr="009C2D05" w:rsidRDefault="0014097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13538">
              <w:rPr>
                <w:rFonts w:ascii="Arial" w:eastAsia="Arial" w:hAnsi="Arial" w:cs="Arial"/>
                <w:sz w:val="16"/>
                <w:szCs w:val="16"/>
              </w:rPr>
              <w:t>Secure subscriber repositories</w:t>
            </w:r>
          </w:p>
        </w:tc>
      </w:tr>
    </w:tbl>
    <w:p w14:paraId="6DE20164" w14:textId="77777777" w:rsidR="001460B8" w:rsidRPr="009C2D05" w:rsidRDefault="001460B8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41916">
        <w:tc>
          <w:tcPr>
            <w:tcW w:w="4680" w:type="dxa"/>
          </w:tcPr>
          <w:p w14:paraId="68433717" w14:textId="285DF76B" w:rsidR="00EB6DC6" w:rsidRPr="009C2D05" w:rsidRDefault="00AB004E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41916">
        <w:tc>
          <w:tcPr>
            <w:tcW w:w="4680" w:type="dxa"/>
          </w:tcPr>
          <w:p w14:paraId="45D6E1AE" w14:textId="77777777" w:rsidR="00EB6DC6" w:rsidRPr="009C2D05" w:rsidRDefault="00EB6DC6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41916">
        <w:tc>
          <w:tcPr>
            <w:tcW w:w="4680" w:type="dxa"/>
          </w:tcPr>
          <w:p w14:paraId="0B80A5F6" w14:textId="438D670D" w:rsidR="00397724" w:rsidRPr="009C2D05" w:rsidRDefault="00397724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74114495" w:rsidR="000B6E5C" w:rsidRPr="00613538" w:rsidRDefault="00A46B1C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3538">
              <w:rPr>
                <w:rFonts w:ascii="Arial" w:eastAsia="Arial" w:hAnsi="Arial" w:cs="Arial"/>
                <w:sz w:val="16"/>
                <w:szCs w:val="16"/>
              </w:rPr>
              <w:t>UE call/data records</w:t>
            </w:r>
          </w:p>
        </w:tc>
        <w:tc>
          <w:tcPr>
            <w:tcW w:w="4680" w:type="dxa"/>
          </w:tcPr>
          <w:p w14:paraId="41CAA731" w14:textId="12911EDE" w:rsidR="000B6E5C" w:rsidRPr="0272C9E8" w:rsidRDefault="00203FA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voice and data records accuracy</w:t>
            </w:r>
          </w:p>
        </w:tc>
      </w:tr>
      <w:tr w:rsidR="00805384" w:rsidRPr="009C2D05" w14:paraId="3009792A" w14:textId="77777777" w:rsidTr="0272C9E8">
        <w:tc>
          <w:tcPr>
            <w:tcW w:w="4680" w:type="dxa"/>
          </w:tcPr>
          <w:p w14:paraId="22A331CE" w14:textId="6E9020EC" w:rsidR="00805384" w:rsidRPr="00613538" w:rsidRDefault="00805384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3538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051CD0" w:rsidRPr="00613538">
              <w:rPr>
                <w:rFonts w:ascii="Arial" w:eastAsia="Arial" w:hAnsi="Arial" w:cs="Arial"/>
                <w:sz w:val="16"/>
                <w:szCs w:val="16"/>
              </w:rPr>
              <w:t>static profile</w:t>
            </w:r>
          </w:p>
        </w:tc>
        <w:tc>
          <w:tcPr>
            <w:tcW w:w="4680" w:type="dxa"/>
          </w:tcPr>
          <w:p w14:paraId="69BA6D8C" w14:textId="6C19A86F" w:rsidR="00805384" w:rsidRPr="0272C9E8" w:rsidRDefault="00203FA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UE static profile</w:t>
            </w:r>
            <w:r w:rsidR="0068250E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41916">
        <w:tc>
          <w:tcPr>
            <w:tcW w:w="4680" w:type="dxa"/>
          </w:tcPr>
          <w:p w14:paraId="5B32A584" w14:textId="61315F3B" w:rsidR="00122B07" w:rsidRPr="009C2D05" w:rsidRDefault="00B5703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284AEC6C" w:rsidR="00122B07" w:rsidRPr="009C2D05" w:rsidRDefault="00B5703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41916">
        <w:tc>
          <w:tcPr>
            <w:tcW w:w="4680" w:type="dxa"/>
          </w:tcPr>
          <w:p w14:paraId="13F3B693" w14:textId="77777777" w:rsidR="00122B07" w:rsidRPr="009C2D05" w:rsidRDefault="00122B07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F15E6B">
        <w:trPr>
          <w:trHeight w:val="56"/>
        </w:trPr>
        <w:tc>
          <w:tcPr>
            <w:tcW w:w="4680" w:type="dxa"/>
          </w:tcPr>
          <w:p w14:paraId="60FBF46D" w14:textId="5813AB75" w:rsidR="00E076BC" w:rsidRPr="009C2D05" w:rsidRDefault="00F15E6B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957281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  <w:r w:rsidR="00957281">
              <w:rPr>
                <w:rFonts w:ascii="Arial" w:eastAsia="Arial" w:hAnsi="Arial" w:cs="Arial"/>
                <w:sz w:val="16"/>
                <w:szCs w:val="16"/>
              </w:rPr>
              <w:t>011</w:t>
            </w:r>
          </w:p>
        </w:tc>
        <w:tc>
          <w:tcPr>
            <w:tcW w:w="4680" w:type="dxa"/>
          </w:tcPr>
          <w:p w14:paraId="3CDCF48E" w14:textId="7E7A659A" w:rsidR="00E076BC" w:rsidRPr="009C2D05" w:rsidRDefault="00F15E6B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Subscriber contacts Customer service to complain (in some limited cases)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41916">
        <w:tc>
          <w:tcPr>
            <w:tcW w:w="4680" w:type="dxa"/>
          </w:tcPr>
          <w:p w14:paraId="236E1F9B" w14:textId="77777777" w:rsidR="00050DAF" w:rsidRPr="009C2D05" w:rsidRDefault="00050DA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41916">
        <w:tc>
          <w:tcPr>
            <w:tcW w:w="4680" w:type="dxa"/>
          </w:tcPr>
          <w:p w14:paraId="1E872D12" w14:textId="77777777" w:rsidR="00050DAF" w:rsidRPr="009C2D05" w:rsidRDefault="00050DAF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00C41916">
        <w:tc>
          <w:tcPr>
            <w:tcW w:w="4680" w:type="dxa"/>
          </w:tcPr>
          <w:p w14:paraId="26CEFF56" w14:textId="1F0F173B" w:rsidR="00E076BC" w:rsidRPr="009C2D05" w:rsidRDefault="00E076BC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102FDCB1" w:rsidR="005D3A14" w:rsidRDefault="0071530B" w:rsidP="007F6957">
      <w:pPr>
        <w:rPr>
          <w:rFonts w:ascii="Arial" w:eastAsia="Arial" w:hAnsi="Arial" w:cs="Arial"/>
        </w:rPr>
      </w:pPr>
      <w:r w:rsidRPr="00D6694D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4260D" w:rsidRPr="0004260D" w14:paraId="5C5675CF" w14:textId="77777777" w:rsidTr="0004260D">
        <w:tc>
          <w:tcPr>
            <w:tcW w:w="4675" w:type="dxa"/>
          </w:tcPr>
          <w:p w14:paraId="02A2F648" w14:textId="77777777" w:rsidR="0004260D" w:rsidRPr="00D273E9" w:rsidRDefault="0004260D" w:rsidP="0004260D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73E9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40CEE5E6" w14:textId="77777777" w:rsidR="0004260D" w:rsidRPr="00D273E9" w:rsidRDefault="0004260D" w:rsidP="0004260D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73E9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4260D" w:rsidRPr="0004260D" w14:paraId="035809F2" w14:textId="77777777" w:rsidTr="0004260D">
        <w:tc>
          <w:tcPr>
            <w:tcW w:w="4675" w:type="dxa"/>
          </w:tcPr>
          <w:p w14:paraId="7BF25B17" w14:textId="77777777" w:rsidR="0004260D" w:rsidRPr="009B75DC" w:rsidRDefault="0004260D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B75DC">
              <w:rPr>
                <w:rFonts w:ascii="Arial" w:hAnsi="Arial" w:cs="Arial"/>
                <w:sz w:val="16"/>
                <w:szCs w:val="16"/>
              </w:rPr>
              <w:t xml:space="preserve">S.P. Rao, S. </w:t>
            </w:r>
            <w:proofErr w:type="spellStart"/>
            <w:r w:rsidRPr="009B75DC">
              <w:rPr>
                <w:rFonts w:ascii="Arial" w:hAnsi="Arial" w:cs="Arial"/>
                <w:sz w:val="16"/>
                <w:szCs w:val="16"/>
              </w:rPr>
              <w:t>Holtmanns</w:t>
            </w:r>
            <w:proofErr w:type="spellEnd"/>
            <w:r w:rsidRPr="009B75DC">
              <w:rPr>
                <w:rFonts w:ascii="Arial" w:hAnsi="Arial" w:cs="Arial"/>
                <w:sz w:val="16"/>
                <w:szCs w:val="16"/>
              </w:rPr>
              <w:t>, T. Aura: “Threat modeling framework for mobile communication systems”, May 2020</w:t>
            </w:r>
          </w:p>
        </w:tc>
        <w:tc>
          <w:tcPr>
            <w:tcW w:w="4675" w:type="dxa"/>
          </w:tcPr>
          <w:p w14:paraId="1B9D79D8" w14:textId="27936776" w:rsidR="0004260D" w:rsidRPr="009B75DC" w:rsidRDefault="0004260D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B75DC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https://arxiv.org/abs/2005.05110v1</w:t>
            </w:r>
            <w:r w:rsidRPr="009B75D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4260D" w:rsidRPr="0004260D" w14:paraId="42176A42" w14:textId="77777777" w:rsidTr="0004260D">
        <w:tc>
          <w:tcPr>
            <w:tcW w:w="4675" w:type="dxa"/>
          </w:tcPr>
          <w:p w14:paraId="06EBAF99" w14:textId="31365C2B" w:rsidR="0004260D" w:rsidRPr="009B75DC" w:rsidRDefault="0004260D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B75DC">
              <w:rPr>
                <w:rFonts w:ascii="Arial" w:hAnsi="Arial" w:cs="Arial"/>
                <w:sz w:val="16"/>
                <w:szCs w:val="16"/>
              </w:rPr>
              <w:t xml:space="preserve">S. </w:t>
            </w:r>
            <w:proofErr w:type="spellStart"/>
            <w:r w:rsidRPr="009B75DC">
              <w:rPr>
                <w:rFonts w:ascii="Arial" w:hAnsi="Arial" w:cs="Arial"/>
                <w:sz w:val="16"/>
                <w:szCs w:val="16"/>
              </w:rPr>
              <w:t>Holtmanns</w:t>
            </w:r>
            <w:proofErr w:type="spellEnd"/>
            <w:r w:rsidRPr="009B75DC">
              <w:rPr>
                <w:rFonts w:ascii="Arial" w:hAnsi="Arial" w:cs="Arial"/>
                <w:sz w:val="16"/>
                <w:szCs w:val="16"/>
              </w:rPr>
              <w:t xml:space="preserve">, I. Oliver and Y. </w:t>
            </w:r>
            <w:proofErr w:type="spellStart"/>
            <w:r w:rsidRPr="009B75DC">
              <w:rPr>
                <w:rFonts w:ascii="Arial" w:hAnsi="Arial" w:cs="Arial"/>
                <w:sz w:val="16"/>
                <w:szCs w:val="16"/>
              </w:rPr>
              <w:t>Miche</w:t>
            </w:r>
            <w:proofErr w:type="spellEnd"/>
            <w:r w:rsidRPr="009B75DC">
              <w:rPr>
                <w:rFonts w:ascii="Arial" w:hAnsi="Arial" w:cs="Arial"/>
                <w:sz w:val="16"/>
                <w:szCs w:val="16"/>
              </w:rPr>
              <w:t>, “Mobile Subscriber Profile Data Privacy Breach via 4G Diameter Interconnection”, 2017.</w:t>
            </w:r>
          </w:p>
        </w:tc>
        <w:tc>
          <w:tcPr>
            <w:tcW w:w="4675" w:type="dxa"/>
          </w:tcPr>
          <w:p w14:paraId="1ABC3A5B" w14:textId="472FA498" w:rsidR="0004260D" w:rsidRPr="009B75DC" w:rsidRDefault="009B75DC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E80280">
              <w:rPr>
                <w:rFonts w:ascii="Arial" w:hAnsi="Arial" w:cs="Arial"/>
                <w:sz w:val="16"/>
                <w:szCs w:val="16"/>
              </w:rPr>
              <w:t>https://www.riverpublishers.com/journal_read_html_article.php?j=JICTS/6/3/</w:t>
            </w:r>
            <w:r w:rsidR="0004260D" w:rsidRPr="009B75DC">
              <w:rPr>
                <w:rFonts w:ascii="Arial" w:hAnsi="Arial" w:cs="Arial"/>
                <w:sz w:val="16"/>
                <w:szCs w:val="16"/>
              </w:rPr>
              <w:t xml:space="preserve">4 </w:t>
            </w:r>
          </w:p>
        </w:tc>
      </w:tr>
      <w:tr w:rsidR="009B75DC" w:rsidRPr="0004260D" w14:paraId="0FADD6A8" w14:textId="77777777" w:rsidTr="0004260D">
        <w:tc>
          <w:tcPr>
            <w:tcW w:w="4675" w:type="dxa"/>
          </w:tcPr>
          <w:p w14:paraId="2FDDC035" w14:textId="249EFD2E" w:rsidR="009B75DC" w:rsidRPr="0004260D" w:rsidRDefault="009B75DC" w:rsidP="009B75D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3GPP TS 23.502, “Procedures for the 5G System (5GS); Stage 2 (Release 17)”, Technical Specification, v17.4.0, March 2022. </w:t>
            </w:r>
            <w:r w:rsidRPr="0006577B">
              <w:rPr>
                <w:rFonts w:ascii="Arial" w:eastAsia="Arial" w:hAnsi="Arial" w:cs="Arial"/>
                <w:sz w:val="16"/>
                <w:szCs w:val="16"/>
              </w:rPr>
              <w:t xml:space="preserve">section 4.11.1.2.2 </w:t>
            </w:r>
          </w:p>
        </w:tc>
        <w:tc>
          <w:tcPr>
            <w:tcW w:w="4675" w:type="dxa"/>
          </w:tcPr>
          <w:p w14:paraId="692370DE" w14:textId="620FF7D0" w:rsidR="009B75DC" w:rsidRDefault="00581D7E" w:rsidP="009B75DC">
            <w:pPr>
              <w:spacing w:after="160" w:line="259" w:lineRule="auto"/>
              <w:rPr>
                <w:sz w:val="22"/>
                <w:szCs w:val="22"/>
              </w:rPr>
            </w:pPr>
            <w:r w:rsidRPr="00833C41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  <w:r w:rsidR="009B75DC" w:rsidRPr="009E61C7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00581D7E" w:rsidRPr="0004260D" w14:paraId="0D800660" w14:textId="77777777" w:rsidTr="0004260D">
        <w:tc>
          <w:tcPr>
            <w:tcW w:w="4675" w:type="dxa"/>
          </w:tcPr>
          <w:p w14:paraId="629DD073" w14:textId="1FD11028" w:rsidR="00581D7E" w:rsidRPr="009E61C7" w:rsidRDefault="00544F64" w:rsidP="009B75DC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3GPP TS 29.503</w:t>
            </w:r>
            <w:r w:rsidR="00883ABA"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="005A2AAE">
              <w:rPr>
                <w:rFonts w:ascii="Arial" w:hAnsi="Arial" w:cs="Arial"/>
                <w:color w:val="000000"/>
                <w:sz w:val="18"/>
                <w:szCs w:val="18"/>
              </w:rPr>
              <w:t>5G System; Unified Data Management Services; Stage 3”</w:t>
            </w:r>
          </w:p>
        </w:tc>
        <w:tc>
          <w:tcPr>
            <w:tcW w:w="4675" w:type="dxa"/>
          </w:tcPr>
          <w:p w14:paraId="5B52AB3C" w14:textId="6436CBB2" w:rsidR="00581D7E" w:rsidRDefault="00375FAF" w:rsidP="009B75DC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hyperlink r:id="rId10" w:history="1">
              <w:r w:rsidRPr="00625787">
                <w:rPr>
                  <w:rStyle w:val="Hyperlink"/>
                  <w:rFonts w:ascii="Arial" w:eastAsia="Arial" w:hAnsi="Arial" w:cs="Arial"/>
                  <w:sz w:val="16"/>
                  <w:szCs w:val="16"/>
                </w:rPr>
                <w:t>https://www.3gpp.org/DynaReport/29503.htm</w:t>
              </w:r>
            </w:hyperlink>
          </w:p>
        </w:tc>
      </w:tr>
    </w:tbl>
    <w:p w14:paraId="27F94556" w14:textId="77777777" w:rsidR="0004260D" w:rsidRDefault="0004260D" w:rsidP="007F6957">
      <w:pPr>
        <w:rPr>
          <w:rFonts w:ascii="Arial" w:eastAsia="Arial" w:hAnsi="Arial" w:cs="Arial"/>
        </w:rPr>
      </w:pPr>
    </w:p>
    <w:p w14:paraId="15DB40F7" w14:textId="09292023" w:rsidR="009431D2" w:rsidRDefault="000D1991" w:rsidP="009431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09C29677" w14:textId="77777777" w:rsidR="000D1991" w:rsidRDefault="000D1991" w:rsidP="009431D2">
      <w:pPr>
        <w:rPr>
          <w:rFonts w:ascii="Arial" w:eastAsia="Arial" w:hAnsi="Arial" w:cs="Arial"/>
        </w:rPr>
      </w:pPr>
    </w:p>
    <w:p w14:paraId="13B21D28" w14:textId="77777777" w:rsidR="00275D49" w:rsidRDefault="00275D49" w:rsidP="00275D49">
      <w:pPr>
        <w:rPr>
          <w:rFonts w:ascii="Arial" w:eastAsia="Arial" w:hAnsi="Arial" w:cs="Arial"/>
          <w:lang w:val="en"/>
        </w:rPr>
      </w:pPr>
      <w:r w:rsidRPr="00613538">
        <w:rPr>
          <w:rFonts w:ascii="Arial" w:eastAsia="Arial" w:hAnsi="Arial" w:cs="Arial"/>
          <w:u w:val="single"/>
          <w:lang w:val="en"/>
        </w:rPr>
        <w:lastRenderedPageBreak/>
        <w:t>Background info</w:t>
      </w:r>
      <w:r>
        <w:rPr>
          <w:rFonts w:ascii="Arial" w:eastAsia="Arial" w:hAnsi="Arial" w:cs="Arial"/>
          <w:lang w:val="en"/>
        </w:rPr>
        <w:t xml:space="preserve">: Subscriber profile differs somewhat for each </w:t>
      </w:r>
      <w:proofErr w:type="gramStart"/>
      <w:r>
        <w:rPr>
          <w:rFonts w:ascii="Arial" w:eastAsia="Arial" w:hAnsi="Arial" w:cs="Arial"/>
          <w:lang w:val="en"/>
        </w:rPr>
        <w:t>operator, and</w:t>
      </w:r>
      <w:proofErr w:type="gramEnd"/>
      <w:r>
        <w:rPr>
          <w:rFonts w:ascii="Arial" w:eastAsia="Arial" w:hAnsi="Arial" w:cs="Arial"/>
          <w:lang w:val="en"/>
        </w:rPr>
        <w:t xml:space="preserve"> is the same regardless of whether the core network is 4G (profile held in HSS) or 5G (profile held in UDM/UDR). </w:t>
      </w:r>
    </w:p>
    <w:p w14:paraId="33155502" w14:textId="77777777" w:rsidR="00275D49" w:rsidRDefault="00275D49" w:rsidP="00275D49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subscriber profile resides permanently in UDM </w:t>
      </w:r>
      <w:proofErr w:type="gramStart"/>
      <w:r>
        <w:rPr>
          <w:rFonts w:ascii="Arial" w:eastAsia="Arial" w:hAnsi="Arial" w:cs="Arial"/>
          <w:lang w:val="en"/>
        </w:rPr>
        <w:t>and also</w:t>
      </w:r>
      <w:proofErr w:type="gramEnd"/>
      <w:r>
        <w:rPr>
          <w:rFonts w:ascii="Arial" w:eastAsia="Arial" w:hAnsi="Arial" w:cs="Arial"/>
          <w:lang w:val="en"/>
        </w:rPr>
        <w:t xml:space="preserve"> in the (serving) AMF. The AMF can only change the AMF-related “location” info in the UDM (i.e., the serving AMF). The UDM however can change much of the subscriber profile in the AMF. The AMF can always get a fresh copy of the current subscriber profile from the UDM. </w:t>
      </w:r>
    </w:p>
    <w:p w14:paraId="546B0085" w14:textId="77777777" w:rsidR="00275D49" w:rsidRDefault="00275D49" w:rsidP="00275D49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subscriber profile contains such info as </w:t>
      </w:r>
    </w:p>
    <w:p w14:paraId="27FFE382" w14:textId="77777777" w:rsidR="00275D49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Closed Subscriber Group (CSG) membership (</w:t>
      </w:r>
      <w:proofErr w:type="gramStart"/>
      <w:r>
        <w:rPr>
          <w:rFonts w:ascii="Arial" w:eastAsia="Arial" w:hAnsi="Arial" w:cs="Arial"/>
          <w:lang w:val="en"/>
        </w:rPr>
        <w:t>e.g.</w:t>
      </w:r>
      <w:proofErr w:type="gramEnd"/>
      <w:r>
        <w:rPr>
          <w:rFonts w:ascii="Arial" w:eastAsia="Arial" w:hAnsi="Arial" w:cs="Arial"/>
          <w:lang w:val="en"/>
        </w:rPr>
        <w:t xml:space="preserve"> used for first responders)</w:t>
      </w:r>
    </w:p>
    <w:p w14:paraId="1EC7A900" w14:textId="77777777" w:rsidR="00275D49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MSISDN </w:t>
      </w:r>
      <w:proofErr w:type="gramStart"/>
      <w:r>
        <w:rPr>
          <w:rFonts w:ascii="Arial" w:eastAsia="Arial" w:hAnsi="Arial" w:cs="Arial"/>
          <w:lang w:val="en"/>
        </w:rPr>
        <w:t>i.e.</w:t>
      </w:r>
      <w:proofErr w:type="gramEnd"/>
      <w:r>
        <w:rPr>
          <w:rFonts w:ascii="Arial" w:eastAsia="Arial" w:hAnsi="Arial" w:cs="Arial"/>
          <w:lang w:val="en"/>
        </w:rPr>
        <w:t xml:space="preserve"> phone number</w:t>
      </w:r>
    </w:p>
    <w:p w14:paraId="6CAB365F" w14:textId="77777777" w:rsidR="00275D49" w:rsidRPr="00E94106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 w:rsidRPr="00E94106">
        <w:rPr>
          <w:rFonts w:ascii="Arial" w:eastAsia="Arial" w:hAnsi="Arial" w:cs="Arial"/>
          <w:lang w:val="en"/>
        </w:rPr>
        <w:t>Access Point N</w:t>
      </w:r>
      <w:r>
        <w:rPr>
          <w:rFonts w:ascii="Arial" w:eastAsia="Arial" w:hAnsi="Arial" w:cs="Arial"/>
          <w:lang w:val="en"/>
        </w:rPr>
        <w:t>am</w:t>
      </w:r>
      <w:r w:rsidRPr="00E94106">
        <w:rPr>
          <w:rFonts w:ascii="Arial" w:eastAsia="Arial" w:hAnsi="Arial" w:cs="Arial"/>
          <w:lang w:val="en"/>
        </w:rPr>
        <w:t xml:space="preserve">e (APN) configuration </w:t>
      </w:r>
      <w:r>
        <w:rPr>
          <w:rFonts w:ascii="Arial" w:eastAsia="Arial" w:hAnsi="Arial" w:cs="Arial"/>
          <w:lang w:val="en"/>
        </w:rPr>
        <w:t>profile (</w:t>
      </w:r>
      <w:r w:rsidRPr="00E94106">
        <w:rPr>
          <w:rFonts w:ascii="Arial" w:eastAsia="Arial" w:hAnsi="Arial" w:cs="Arial"/>
          <w:lang w:val="en"/>
        </w:rPr>
        <w:t>used for data access</w:t>
      </w:r>
      <w:r>
        <w:rPr>
          <w:rFonts w:ascii="Arial" w:eastAsia="Arial" w:hAnsi="Arial" w:cs="Arial"/>
          <w:lang w:val="en"/>
        </w:rPr>
        <w:t>;</w:t>
      </w:r>
      <w:r w:rsidRPr="00E94106">
        <w:rPr>
          <w:rFonts w:ascii="Arial" w:eastAsia="Arial" w:hAnsi="Arial" w:cs="Arial"/>
          <w:lang w:val="en"/>
        </w:rPr>
        <w:t xml:space="preserve"> impacts of changing that to another address</w:t>
      </w:r>
      <w:r>
        <w:rPr>
          <w:rFonts w:ascii="Arial" w:eastAsia="Arial" w:hAnsi="Arial" w:cs="Arial"/>
          <w:lang w:val="en"/>
        </w:rPr>
        <w:t>)</w:t>
      </w:r>
    </w:p>
    <w:p w14:paraId="7F51BE63" w14:textId="77777777" w:rsidR="00275D49" w:rsidRPr="00E94106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MDT- mobile drive test configuration (whether user agreed to do this- if so, they can be more easily tracked).</w:t>
      </w:r>
    </w:p>
    <w:p w14:paraId="7E01E11C" w14:textId="6D172199" w:rsidR="00275D49" w:rsidRPr="00767BFB" w:rsidRDefault="00275D49" w:rsidP="00275D49">
      <w:pPr>
        <w:ind w:left="360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“3GPP</w:t>
      </w:r>
      <w:r w:rsidRPr="00E94106">
        <w:rPr>
          <w:rFonts w:ascii="Arial" w:eastAsia="Arial" w:hAnsi="Arial" w:cs="Arial"/>
          <w:lang w:val="en"/>
        </w:rPr>
        <w:t xml:space="preserve"> charging characteristics</w:t>
      </w:r>
      <w:r>
        <w:rPr>
          <w:rFonts w:ascii="Arial" w:eastAsia="Arial" w:hAnsi="Arial" w:cs="Arial"/>
          <w:lang w:val="en"/>
        </w:rPr>
        <w:t>”</w:t>
      </w:r>
      <w:r w:rsidR="0013102B">
        <w:rPr>
          <w:rFonts w:ascii="Arial" w:eastAsia="Arial" w:hAnsi="Arial" w:cs="Arial"/>
          <w:lang w:val="en"/>
        </w:rPr>
        <w:t xml:space="preserve"> </w:t>
      </w:r>
      <w:r>
        <w:rPr>
          <w:rFonts w:ascii="Arial" w:eastAsia="Arial" w:hAnsi="Arial" w:cs="Arial"/>
          <w:lang w:val="en"/>
        </w:rPr>
        <w:t xml:space="preserve">(source: </w:t>
      </w:r>
      <w:r w:rsidRPr="00767BFB">
        <w:rPr>
          <w:rFonts w:ascii="Arial" w:eastAsia="Arial" w:hAnsi="Arial" w:cs="Arial"/>
          <w:i/>
          <w:iCs/>
          <w:lang w:val="en"/>
        </w:rPr>
        <w:t>Mobile Subscriber Profile Data Privacy Breach via 4G Diameter Interconnection</w:t>
      </w:r>
      <w:r>
        <w:rPr>
          <w:rFonts w:ascii="Arial" w:eastAsia="Arial" w:hAnsi="Arial" w:cs="Arial"/>
          <w:lang w:val="en"/>
        </w:rPr>
        <w:t xml:space="preserve">, </w:t>
      </w:r>
      <w:r w:rsidRPr="00445BB7">
        <w:rPr>
          <w:rFonts w:ascii="Arial" w:eastAsia="Arial" w:hAnsi="Arial" w:cs="Arial"/>
          <w:lang w:val="en"/>
        </w:rPr>
        <w:t xml:space="preserve">Silke </w:t>
      </w:r>
      <w:proofErr w:type="spellStart"/>
      <w:r w:rsidRPr="00445BB7">
        <w:rPr>
          <w:rFonts w:ascii="Arial" w:eastAsia="Arial" w:hAnsi="Arial" w:cs="Arial"/>
          <w:lang w:val="en"/>
        </w:rPr>
        <w:t>Holtmanns</w:t>
      </w:r>
      <w:proofErr w:type="spellEnd"/>
      <w:r w:rsidRPr="00445BB7">
        <w:rPr>
          <w:rFonts w:ascii="Arial" w:eastAsia="Arial" w:hAnsi="Arial" w:cs="Arial"/>
          <w:lang w:val="en"/>
        </w:rPr>
        <w:t xml:space="preserve">*, Ian </w:t>
      </w:r>
      <w:proofErr w:type="gramStart"/>
      <w:r w:rsidRPr="00445BB7">
        <w:rPr>
          <w:rFonts w:ascii="Arial" w:eastAsia="Arial" w:hAnsi="Arial" w:cs="Arial"/>
          <w:lang w:val="en"/>
        </w:rPr>
        <w:t>Oliver</w:t>
      </w:r>
      <w:proofErr w:type="gramEnd"/>
      <w:r w:rsidRPr="00445BB7">
        <w:rPr>
          <w:rFonts w:ascii="Arial" w:eastAsia="Arial" w:hAnsi="Arial" w:cs="Arial"/>
          <w:lang w:val="en"/>
        </w:rPr>
        <w:t xml:space="preserve"> and </w:t>
      </w:r>
      <w:proofErr w:type="spellStart"/>
      <w:r w:rsidRPr="00445BB7">
        <w:rPr>
          <w:rFonts w:ascii="Arial" w:eastAsia="Arial" w:hAnsi="Arial" w:cs="Arial"/>
          <w:lang w:val="en"/>
        </w:rPr>
        <w:t>Yoan</w:t>
      </w:r>
      <w:proofErr w:type="spellEnd"/>
      <w:r w:rsidRPr="00445BB7">
        <w:rPr>
          <w:rFonts w:ascii="Arial" w:eastAsia="Arial" w:hAnsi="Arial" w:cs="Arial"/>
          <w:lang w:val="en"/>
        </w:rPr>
        <w:t xml:space="preserve"> </w:t>
      </w:r>
      <w:proofErr w:type="spellStart"/>
      <w:r w:rsidRPr="00445BB7">
        <w:rPr>
          <w:rFonts w:ascii="Arial" w:eastAsia="Arial" w:hAnsi="Arial" w:cs="Arial"/>
          <w:lang w:val="en"/>
        </w:rPr>
        <w:t>Miche</w:t>
      </w:r>
      <w:proofErr w:type="spellEnd"/>
      <w:r>
        <w:rPr>
          <w:rFonts w:ascii="Arial" w:eastAsia="Arial" w:hAnsi="Arial" w:cs="Arial"/>
          <w:lang w:val="en"/>
        </w:rPr>
        <w:t>)</w:t>
      </w:r>
    </w:p>
    <w:p w14:paraId="039F1797" w14:textId="77777777" w:rsidR="00275D49" w:rsidRDefault="00275D49" w:rsidP="009431D2">
      <w:pPr>
        <w:rPr>
          <w:rFonts w:ascii="Arial" w:eastAsia="Arial" w:hAnsi="Arial" w:cs="Arial"/>
        </w:rPr>
      </w:pPr>
    </w:p>
    <w:p w14:paraId="54C3CE71" w14:textId="4129D198" w:rsidR="00D96015" w:rsidRDefault="00275D49" w:rsidP="009431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Bottom line: </w:t>
      </w:r>
      <w:r w:rsidR="00D96015">
        <w:rPr>
          <w:rFonts w:ascii="Arial" w:eastAsia="Arial" w:hAnsi="Arial" w:cs="Arial"/>
        </w:rPr>
        <w:t xml:space="preserve">Subscriber Profile is secure, </w:t>
      </w:r>
      <w:proofErr w:type="gramStart"/>
      <w:r w:rsidR="00D96015">
        <w:rPr>
          <w:rFonts w:ascii="Arial" w:eastAsia="Arial" w:hAnsi="Arial" w:cs="Arial"/>
        </w:rPr>
        <w:t>stable</w:t>
      </w:r>
      <w:proofErr w:type="gramEnd"/>
      <w:r w:rsidR="00D96015">
        <w:rPr>
          <w:rFonts w:ascii="Arial" w:eastAsia="Arial" w:hAnsi="Arial" w:cs="Arial"/>
        </w:rPr>
        <w:t xml:space="preserve"> and very hard to change. </w:t>
      </w:r>
    </w:p>
    <w:p w14:paraId="7BB1D32D" w14:textId="07CA543A" w:rsidR="00D96015" w:rsidRDefault="00D96015" w:rsidP="009431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UE Context is updatable and easy to change.</w:t>
      </w:r>
    </w:p>
    <w:p w14:paraId="049E0D12" w14:textId="37A15DAE" w:rsidR="009431D2" w:rsidRPr="009431D2" w:rsidRDefault="009431D2" w:rsidP="009431D2">
      <w:r>
        <w:rPr>
          <w:noProof/>
        </w:rPr>
        <w:drawing>
          <wp:inline distT="0" distB="0" distL="0" distR="0" wp14:anchorId="4493B2C1" wp14:editId="435CFCE7">
            <wp:extent cx="5313872" cy="4663027"/>
            <wp:effectExtent l="0" t="0" r="127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l="23376" t="11665" r="42222" b="35586"/>
                    <a:stretch/>
                  </pic:blipFill>
                  <pic:spPr bwMode="auto">
                    <a:xfrm>
                      <a:off x="0" y="0"/>
                      <a:ext cx="5321840" cy="467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535D7" w14:textId="2C84AF54" w:rsidR="1D8D68CC" w:rsidRDefault="1D8D68CC" w:rsidP="1D8D68CC">
      <w:r>
        <w:lastRenderedPageBreak/>
        <w:t xml:space="preserve">The UE context in the AMF contains the info: (from </w:t>
      </w:r>
      <w:proofErr w:type="spellStart"/>
      <w:r>
        <w:t>eventhelix</w:t>
      </w:r>
      <w:proofErr w:type="spellEnd"/>
      <w: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8D68CC" w14:paraId="5730887F" w14:textId="77777777" w:rsidTr="1D8D68CC">
        <w:tc>
          <w:tcPr>
            <w:tcW w:w="4680" w:type="dxa"/>
            <w:vAlign w:val="center"/>
          </w:tcPr>
          <w:p w14:paraId="3657609E" w14:textId="420838AB" w:rsidR="1D8D68CC" w:rsidRDefault="00000000">
            <w:hyperlink r:id="rId12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SUPI</w:t>
              </w:r>
            </w:hyperlink>
          </w:p>
        </w:tc>
        <w:tc>
          <w:tcPr>
            <w:tcW w:w="4680" w:type="dxa"/>
            <w:vAlign w:val="center"/>
          </w:tcPr>
          <w:p w14:paraId="07875844" w14:textId="11BB0205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SUPI (Subscription Permanent Identifier) is the subscriber's permanent identity in 5GS.</w:t>
            </w:r>
          </w:p>
        </w:tc>
      </w:tr>
      <w:tr w:rsidR="1D8D68CC" w14:paraId="1331FD59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9A4EFA0" w14:textId="0B23B65B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SUPI-unauthenticated-indicator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1541D2E" w14:textId="07BCE81A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This indicates whether the SUPI is unauthenticated.</w:t>
            </w:r>
          </w:p>
        </w:tc>
      </w:tr>
      <w:tr w:rsidR="1D8D68CC" w14:paraId="3F5E4EF7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2158E9B3" w14:textId="375BC693" w:rsidR="1D8D68CC" w:rsidRDefault="00000000">
            <w:hyperlink r:id="rId13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GPSI</w:t>
              </w:r>
            </w:hyperlink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95101BF" w14:textId="347731F7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The GPSI(s) of the UE. The presence is dictated by its storage in the UDM.</w:t>
            </w:r>
          </w:p>
        </w:tc>
      </w:tr>
      <w:tr w:rsidR="1D8D68CC" w14:paraId="2A5F820D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709B68" w14:textId="0987E1BB" w:rsidR="1D8D68CC" w:rsidRDefault="00000000">
            <w:hyperlink r:id="rId14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5G-GUTI</w:t>
              </w:r>
            </w:hyperlink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0AD6AD1" w14:textId="771F716F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5G Globally Unique Temporary Identifier.</w:t>
            </w:r>
          </w:p>
        </w:tc>
      </w:tr>
      <w:tr w:rsidR="1D8D68CC" w14:paraId="3F47B455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83112E" w14:textId="7664799C" w:rsidR="1D8D68CC" w:rsidRDefault="00000000">
            <w:hyperlink r:id="rId15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PEI</w:t>
              </w:r>
            </w:hyperlink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A06791A" w14:textId="0B55D45D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Mobile Equipment Identity</w:t>
            </w:r>
          </w:p>
        </w:tc>
      </w:tr>
      <w:tr w:rsidR="1D8D68CC" w14:paraId="06BFA928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C1A5C04" w14:textId="2B2D5596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Internal Group ID-list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34ED52E" w14:textId="1568CC60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List of the subscribed internal group(s) that the UE belongs to.</w:t>
            </w:r>
          </w:p>
        </w:tc>
      </w:tr>
      <w:tr w:rsidR="1D8D68CC" w14:paraId="4D03F0EA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15812CF" w14:textId="52CEC012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UE Specific DRX Parameters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470D20" w14:textId="60ECEA18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UE specific DRX parameters.</w:t>
            </w:r>
          </w:p>
        </w:tc>
      </w:tr>
      <w:tr w:rsidR="1D8D68CC" w14:paraId="71FD067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237229" w14:textId="151C6BA6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UE MM Network Capability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ADACBA2" w14:textId="0A0F97F3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Indicates the UE MM network capabilities.</w:t>
            </w:r>
          </w:p>
        </w:tc>
      </w:tr>
      <w:tr w:rsidR="1D8D68CC" w14:paraId="63233CBF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265F649" w14:textId="3ACFC214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5GMM Capability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4C520A1" w14:textId="0CF19DDD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Includes other UE capabilities related to 5GCN or interworking with EPS.</w:t>
            </w:r>
          </w:p>
        </w:tc>
      </w:tr>
      <w:tr w:rsidR="1D8D68CC" w14:paraId="0118B528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983F9BE" w14:textId="557E2A98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Events Subscription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2C101CC" w14:textId="22AB24E9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List of the event subscriptions by other CP NFs. Indicating the events being subscribed as well as any information on how to send the corresponding notifications</w:t>
            </w:r>
          </w:p>
        </w:tc>
      </w:tr>
    </w:tbl>
    <w:p w14:paraId="0089A980" w14:textId="0766294B" w:rsidR="1D8D68CC" w:rsidRDefault="1D8D68CC" w:rsidP="1D8D68CC">
      <w:r>
        <w:t>AM policy.</w:t>
      </w:r>
    </w:p>
    <w:p w14:paraId="66CF3951" w14:textId="73EC8042" w:rsidR="1D8D68CC" w:rsidRDefault="1D8D68CC">
      <w:r w:rsidRPr="1D8D68CC">
        <w:rPr>
          <w:rFonts w:ascii="Meiryo" w:eastAsia="Meiryo" w:hAnsi="Meiryo" w:cs="Meiryo"/>
          <w:b/>
          <w:bCs/>
          <w:color w:val="000000" w:themeColor="text1"/>
          <w:sz w:val="21"/>
          <w:szCs w:val="21"/>
        </w:rPr>
        <w:t>For each access type level context within the UE access and mobility context: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8D68CC" w14:paraId="4E23E592" w14:textId="77777777" w:rsidTr="1D8D68CC"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18A06503" w14:textId="53050A1C" w:rsidR="1D8D68CC" w:rsidRDefault="1D8D68CC" w:rsidP="1D8D68CC">
            <w:r w:rsidRPr="1D8D68CC">
              <w:rPr>
                <w:b/>
                <w:bCs/>
              </w:rPr>
              <w:t>Field</w:t>
            </w:r>
          </w:p>
        </w:tc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5A872A48" w14:textId="7AEED12B" w:rsidR="1D8D68CC" w:rsidRDefault="1D8D68CC" w:rsidP="1D8D68CC">
            <w:r w:rsidRPr="1D8D68CC">
              <w:rPr>
                <w:b/>
                <w:bCs/>
              </w:rPr>
              <w:t>Description</w:t>
            </w:r>
          </w:p>
        </w:tc>
      </w:tr>
      <w:tr w:rsidR="1D8D68CC" w14:paraId="44DD18F2" w14:textId="77777777" w:rsidTr="1D8D68CC">
        <w:tc>
          <w:tcPr>
            <w:tcW w:w="4680" w:type="dxa"/>
            <w:vAlign w:val="center"/>
          </w:tcPr>
          <w:p w14:paraId="604D0186" w14:textId="1B9576F2" w:rsidR="1D8D68CC" w:rsidRDefault="1D8D68CC">
            <w:r>
              <w:t>Access Type</w:t>
            </w:r>
          </w:p>
        </w:tc>
        <w:tc>
          <w:tcPr>
            <w:tcW w:w="4680" w:type="dxa"/>
            <w:vAlign w:val="center"/>
          </w:tcPr>
          <w:p w14:paraId="462E6D42" w14:textId="6D1C0EA1" w:rsidR="1D8D68CC" w:rsidRDefault="1D8D68CC">
            <w:r>
              <w:t>Indicates the access type for this context.</w:t>
            </w:r>
          </w:p>
        </w:tc>
      </w:tr>
      <w:tr w:rsidR="1D8D68CC" w14:paraId="3EF63668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78383E9" w14:textId="6BA49096" w:rsidR="1D8D68CC" w:rsidRDefault="1D8D68CC">
            <w:r>
              <w:t>RM State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8C77EC6" w14:textId="395672C1" w:rsidR="1D8D68CC" w:rsidRDefault="1D8D68CC">
            <w:r>
              <w:t>Registration management state.</w:t>
            </w:r>
          </w:p>
        </w:tc>
      </w:tr>
      <w:tr w:rsidR="1D8D68CC" w14:paraId="04DAD8FE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D693C8C" w14:textId="06FB27EE" w:rsidR="1D8D68CC" w:rsidRDefault="1D8D68CC">
            <w:r>
              <w:t>Registration Area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2ABEA8C" w14:textId="55710F2A" w:rsidR="1D8D68CC" w:rsidRDefault="1D8D68CC">
            <w:r>
              <w:t>Current Registration Area (a set of tracking areas in TAI List).</w:t>
            </w:r>
          </w:p>
        </w:tc>
      </w:tr>
      <w:tr w:rsidR="1D8D68CC" w14:paraId="2EEACD2A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A2A5606" w14:textId="6EAFB7F8" w:rsidR="1D8D68CC" w:rsidRDefault="1D8D68CC">
            <w:r>
              <w:t>TAI of last Registration Update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17DB7A" w14:textId="098B8BD4" w:rsidR="1D8D68CC" w:rsidRDefault="1D8D68CC">
            <w:r>
              <w:t>TAI of the TA in which the last registration request was initiated.</w:t>
            </w:r>
          </w:p>
        </w:tc>
      </w:tr>
      <w:tr w:rsidR="1D8D68CC" w14:paraId="0A8CFD42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2A8C1A35" w14:textId="5B8F8041" w:rsidR="1D8D68CC" w:rsidRDefault="1D8D68CC">
            <w:r>
              <w:t>User Location Information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BB1962" w14:textId="2F32626D" w:rsidR="1D8D68CC" w:rsidRDefault="1D8D68CC">
            <w:r>
              <w:t>Information on user location.</w:t>
            </w:r>
          </w:p>
        </w:tc>
      </w:tr>
      <w:tr w:rsidR="1D8D68CC" w14:paraId="62EE288D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014C96C" w14:textId="1029D288" w:rsidR="1D8D68CC" w:rsidRDefault="1D8D68CC">
            <w:r>
              <w:t>Mobility Restrictions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2335D9E" w14:textId="5540110B" w:rsidR="1D8D68CC" w:rsidRDefault="1D8D68CC">
            <w:r>
              <w:t xml:space="preserve">Mobility Restrictions restrict mobility handling or service access of a UE. It consists of RAT restriction, </w:t>
            </w:r>
            <w:proofErr w:type="gramStart"/>
            <w:r>
              <w:t>Forbidden</w:t>
            </w:r>
            <w:proofErr w:type="gramEnd"/>
            <w:r>
              <w:t xml:space="preserve"> area, Service area restrictions and Core Network type restriction.</w:t>
            </w:r>
          </w:p>
        </w:tc>
      </w:tr>
      <w:tr w:rsidR="1D8D68CC" w14:paraId="0F4DCACF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A146E8A" w14:textId="166D5DB9" w:rsidR="1D8D68CC" w:rsidRDefault="1D8D68CC">
            <w:r>
              <w:lastRenderedPageBreak/>
              <w:t>Expected UE Behavior Parameters for AMF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AA080E7" w14:textId="1F30A449" w:rsidR="1D8D68CC" w:rsidRDefault="1D8D68CC">
            <w:r>
              <w:t>Indicates per UE the Expected UE Behavior Parameters and their corresponding validity times.</w:t>
            </w:r>
          </w:p>
        </w:tc>
      </w:tr>
      <w:tr w:rsidR="1D8D68CC" w14:paraId="58C7086B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1E9E98E" w14:textId="03DA125F" w:rsidR="1D8D68CC" w:rsidRDefault="1D8D68CC">
            <w:r>
              <w:t>Security Information for CP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D3B0098" w14:textId="5505EA27" w:rsidR="1D8D68CC" w:rsidRDefault="1D8D68CC">
            <w:r>
              <w:t>Control plane security information.</w:t>
            </w:r>
          </w:p>
        </w:tc>
      </w:tr>
      <w:tr w:rsidR="1D8D68CC" w14:paraId="78BCE25E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A9F3FA1" w14:textId="13910E13" w:rsidR="1D8D68CC" w:rsidRDefault="1D8D68CC">
            <w:r>
              <w:t>Security Information for UP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CF5320E" w14:textId="04DF86A7" w:rsidR="1D8D68CC" w:rsidRDefault="1D8D68CC">
            <w:r>
              <w:t>User plane security information.</w:t>
            </w:r>
          </w:p>
        </w:tc>
      </w:tr>
      <w:tr w:rsidR="1D8D68CC" w14:paraId="09D5545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7BE9B54" w14:textId="45D38CDA" w:rsidR="1D8D68CC" w:rsidRDefault="1D8D68CC">
            <w:r>
              <w:t>Allowed NSSAI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C16CE40" w14:textId="2AFD39AB" w:rsidR="1D8D68CC" w:rsidRDefault="1D8D68CC">
            <w:r>
              <w:t>Allowed NSSAI consisting of one or more S-NSSAIs for serving PLMN in the present Registration Area.</w:t>
            </w:r>
          </w:p>
        </w:tc>
      </w:tr>
      <w:tr w:rsidR="1D8D68CC" w14:paraId="2F3F8FBD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CBDF389" w14:textId="71AF0899" w:rsidR="1D8D68CC" w:rsidRDefault="1D8D68CC">
            <w:r>
              <w:t>Mapping Of Allowed NSSAI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A55C658" w14:textId="4C9937D2" w:rsidR="1D8D68CC" w:rsidRDefault="1D8D68CC">
            <w:r>
              <w:t>Mapping Of Allowed NSSAI is the mapping of each S-NSSAI of the Allowed NSSAI to the S-NSSAIs of the Subscribed S-NSSAIs.</w:t>
            </w:r>
          </w:p>
        </w:tc>
      </w:tr>
      <w:tr w:rsidR="1D8D68CC" w14:paraId="1F51127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F37730A" w14:textId="7EEC9245" w:rsidR="1D8D68CC" w:rsidRDefault="1D8D68CC">
            <w:r>
              <w:t>AMF UE NGAP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CC95B01" w14:textId="57020095" w:rsidR="1D8D68CC" w:rsidRDefault="1D8D68CC">
            <w:r>
              <w:t>Identifies the UE association over the NG interface within the AMF as defined in TS 38.413.</w:t>
            </w:r>
          </w:p>
        </w:tc>
      </w:tr>
      <w:tr w:rsidR="1D8D68CC" w14:paraId="73DFE387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22AAFD3F" w14:textId="01FFAFDA" w:rsidR="1D8D68CC" w:rsidRDefault="1D8D68CC">
            <w:r>
              <w:t>RAN UE NGAP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89CEDAD" w14:textId="57C1DA40" w:rsidR="1D8D68CC" w:rsidRDefault="1D8D68CC">
            <w:r>
              <w:t>Identifies the UE association over the NG interface within the NG-RAN node as defined in TS 38.413.</w:t>
            </w:r>
          </w:p>
        </w:tc>
      </w:tr>
      <w:tr w:rsidR="1D8D68CC" w14:paraId="3E13CCA5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D97FF82" w14:textId="0EC4DAE9" w:rsidR="1D8D68CC" w:rsidRDefault="1D8D68CC">
            <w:r>
              <w:t>Network Slice Instance(s)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6A7CA8D" w14:textId="45FAB1FB" w:rsidR="1D8D68CC" w:rsidRDefault="1D8D68CC">
            <w:r>
              <w:t>The Network Slice Instances selected by 5GC for this UE.</w:t>
            </w:r>
          </w:p>
        </w:tc>
      </w:tr>
    </w:tbl>
    <w:p w14:paraId="22718214" w14:textId="6E5FB177" w:rsidR="1D8D68CC" w:rsidRDefault="1D8D68CC">
      <w:r w:rsidRPr="1D8D68CC">
        <w:rPr>
          <w:rFonts w:ascii="Meiryo" w:eastAsia="Meiryo" w:hAnsi="Meiryo" w:cs="Meiryo"/>
          <w:b/>
          <w:bCs/>
          <w:color w:val="000000" w:themeColor="text1"/>
          <w:sz w:val="21"/>
          <w:szCs w:val="21"/>
        </w:rPr>
        <w:t>For each PDU Session level context: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8D68CC" w14:paraId="49EFEC4B" w14:textId="77777777" w:rsidTr="1D8D68CC"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33956E5E" w14:textId="5D699383" w:rsidR="1D8D68CC" w:rsidRDefault="1D8D68CC" w:rsidP="1D8D68CC">
            <w:r w:rsidRPr="1D8D68CC">
              <w:rPr>
                <w:b/>
                <w:bCs/>
              </w:rPr>
              <w:t>Field</w:t>
            </w:r>
          </w:p>
        </w:tc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02C9BBF8" w14:textId="6B5FB216" w:rsidR="1D8D68CC" w:rsidRDefault="1D8D68CC" w:rsidP="1D8D68CC">
            <w:r w:rsidRPr="1D8D68CC">
              <w:rPr>
                <w:b/>
                <w:bCs/>
              </w:rPr>
              <w:t>Description</w:t>
            </w:r>
          </w:p>
        </w:tc>
      </w:tr>
      <w:tr w:rsidR="1D8D68CC" w14:paraId="27F42601" w14:textId="77777777" w:rsidTr="1D8D68CC">
        <w:tc>
          <w:tcPr>
            <w:tcW w:w="4680" w:type="dxa"/>
            <w:vAlign w:val="center"/>
          </w:tcPr>
          <w:p w14:paraId="255EE8C7" w14:textId="58DE0082" w:rsidR="1D8D68CC" w:rsidRDefault="1D8D68CC">
            <w:r>
              <w:t>S-NSSAI(s)</w:t>
            </w:r>
          </w:p>
        </w:tc>
        <w:tc>
          <w:tcPr>
            <w:tcW w:w="4680" w:type="dxa"/>
            <w:vAlign w:val="center"/>
          </w:tcPr>
          <w:p w14:paraId="7C041DAC" w14:textId="59F0BD79" w:rsidR="1D8D68CC" w:rsidRDefault="1D8D68CC">
            <w:r>
              <w:t>The S-NSSAI(s) associated to the PDU Session.</w:t>
            </w:r>
          </w:p>
        </w:tc>
      </w:tr>
      <w:tr w:rsidR="1D8D68CC" w14:paraId="5C757C65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6707A55" w14:textId="5EA68CE1" w:rsidR="1D8D68CC" w:rsidRDefault="1D8D68CC">
            <w:r>
              <w:t>DNN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3117C96" w14:textId="07666B5B" w:rsidR="1D8D68CC" w:rsidRDefault="1D8D68CC">
            <w:r>
              <w:t>The associated DNN for the PDU Session.</w:t>
            </w:r>
          </w:p>
        </w:tc>
      </w:tr>
      <w:tr w:rsidR="1D8D68CC" w14:paraId="75966D1C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370A1C" w14:textId="3B4F4405" w:rsidR="1D8D68CC" w:rsidRDefault="1D8D68CC">
            <w:r>
              <w:t>Network Slice Instance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E5E52D8" w14:textId="41D89359" w:rsidR="1D8D68CC" w:rsidRDefault="1D8D68CC">
            <w:r>
              <w:t>The network Slice Instance information for the PDU Session</w:t>
            </w:r>
          </w:p>
        </w:tc>
      </w:tr>
      <w:tr w:rsidR="1D8D68CC" w14:paraId="72D6E6B6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F45DCBB" w14:textId="79FA5EF9" w:rsidR="1D8D68CC" w:rsidRDefault="1D8D68CC">
            <w:r>
              <w:t>PDU Session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D91AF30" w14:textId="36EA24E6" w:rsidR="1D8D68CC" w:rsidRDefault="1D8D68CC">
            <w:r>
              <w:t>The identifier of the PDU Session.</w:t>
            </w:r>
          </w:p>
        </w:tc>
      </w:tr>
      <w:tr w:rsidR="1D8D68CC" w14:paraId="772558E0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5A1240" w14:textId="2954391F" w:rsidR="1D8D68CC" w:rsidRDefault="1D8D68CC">
            <w:r>
              <w:t>SMF Information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E7777D9" w14:textId="1B4D3815" w:rsidR="1D8D68CC" w:rsidRDefault="1D8D68CC">
            <w:r>
              <w:t>The associated SMF identifier and SMF address for the PDU Session.</w:t>
            </w:r>
          </w:p>
        </w:tc>
      </w:tr>
      <w:tr w:rsidR="1D8D68CC" w14:paraId="6E4988D7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58EDE29" w14:textId="016B61CB" w:rsidR="1D8D68CC" w:rsidRDefault="1D8D68CC">
            <w:r>
              <w:t>Access Type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7AF7755" w14:textId="595CD708" w:rsidR="1D8D68CC" w:rsidRDefault="1D8D68CC">
            <w:r>
              <w:t>The current access type for this PDU Session.</w:t>
            </w:r>
          </w:p>
        </w:tc>
      </w:tr>
      <w:tr w:rsidR="1D8D68CC" w14:paraId="5898CF8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4BB1F8E" w14:textId="41B533C7" w:rsidR="1D8D68CC" w:rsidRDefault="1D8D68CC">
            <w:r>
              <w:t>EBI-ARP list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FD5BEFF" w14:textId="0C21F4AB" w:rsidR="1D8D68CC" w:rsidRDefault="1D8D68CC">
            <w:r>
              <w:t>The allocated EBI and associated ARP pairs for this PDU session.</w:t>
            </w:r>
          </w:p>
        </w:tc>
      </w:tr>
      <w:tr w:rsidR="1D8D68CC" w14:paraId="275C8823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7D4730D" w14:textId="052F0E36" w:rsidR="1D8D68CC" w:rsidRDefault="1D8D68CC">
            <w:r>
              <w:t>5GSM Core Network Capability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9C84863" w14:textId="68E23A4B" w:rsidR="1D8D68CC" w:rsidRDefault="1D8D68CC">
            <w:r>
              <w:t>The UEs 5GSM Core Network Capability as defined in TS 23.501.</w:t>
            </w:r>
          </w:p>
        </w:tc>
      </w:tr>
    </w:tbl>
    <w:p w14:paraId="0DB76365" w14:textId="6B00459F" w:rsidR="1D8D68CC" w:rsidRDefault="1D8D68CC" w:rsidP="1D8D68CC"/>
    <w:sectPr w:rsidR="1D8D68CC" w:rsidSect="0002025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63A1" w14:textId="77777777" w:rsidR="00DE024B" w:rsidRDefault="00DE024B" w:rsidP="00684328">
      <w:r>
        <w:separator/>
      </w:r>
    </w:p>
  </w:endnote>
  <w:endnote w:type="continuationSeparator" w:id="0">
    <w:p w14:paraId="628625D0" w14:textId="77777777" w:rsidR="00DE024B" w:rsidRDefault="00DE024B" w:rsidP="00684328">
      <w:r>
        <w:continuationSeparator/>
      </w:r>
    </w:p>
  </w:endnote>
  <w:endnote w:type="continuationNotice" w:id="1">
    <w:p w14:paraId="04A9C601" w14:textId="77777777" w:rsidR="00DE024B" w:rsidRDefault="00DE02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8211" w14:textId="77777777" w:rsidR="00DE024B" w:rsidRDefault="00DE024B" w:rsidP="00684328">
      <w:r>
        <w:separator/>
      </w:r>
    </w:p>
  </w:footnote>
  <w:footnote w:type="continuationSeparator" w:id="0">
    <w:p w14:paraId="4A9D8F73" w14:textId="77777777" w:rsidR="00DE024B" w:rsidRDefault="00DE024B" w:rsidP="00684328">
      <w:r>
        <w:continuationSeparator/>
      </w:r>
    </w:p>
  </w:footnote>
  <w:footnote w:type="continuationNotice" w:id="1">
    <w:p w14:paraId="046A333B" w14:textId="77777777" w:rsidR="00DE024B" w:rsidRDefault="00DE02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397"/>
    <w:multiLevelType w:val="hybridMultilevel"/>
    <w:tmpl w:val="4A74B266"/>
    <w:lvl w:ilvl="0" w:tplc="03B0EA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162574">
    <w:abstractNumId w:val="2"/>
  </w:num>
  <w:num w:numId="2" w16cid:durableId="1321351906">
    <w:abstractNumId w:val="1"/>
  </w:num>
  <w:num w:numId="3" w16cid:durableId="1793552427">
    <w:abstractNumId w:val="4"/>
  </w:num>
  <w:num w:numId="4" w16cid:durableId="953444737">
    <w:abstractNumId w:val="5"/>
  </w:num>
  <w:num w:numId="5" w16cid:durableId="1259556751">
    <w:abstractNumId w:val="3"/>
  </w:num>
  <w:num w:numId="6" w16cid:durableId="180611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F93"/>
    <w:rsid w:val="00004946"/>
    <w:rsid w:val="00007482"/>
    <w:rsid w:val="00007DE0"/>
    <w:rsid w:val="00011E75"/>
    <w:rsid w:val="00012812"/>
    <w:rsid w:val="00014D4D"/>
    <w:rsid w:val="000150FF"/>
    <w:rsid w:val="000155DB"/>
    <w:rsid w:val="000160C5"/>
    <w:rsid w:val="00020259"/>
    <w:rsid w:val="000227C6"/>
    <w:rsid w:val="0003460D"/>
    <w:rsid w:val="00036760"/>
    <w:rsid w:val="00037DD8"/>
    <w:rsid w:val="0004260D"/>
    <w:rsid w:val="00044724"/>
    <w:rsid w:val="00047624"/>
    <w:rsid w:val="00050DAF"/>
    <w:rsid w:val="00051CD0"/>
    <w:rsid w:val="00052917"/>
    <w:rsid w:val="00070875"/>
    <w:rsid w:val="0007131A"/>
    <w:rsid w:val="000745CB"/>
    <w:rsid w:val="00080077"/>
    <w:rsid w:val="000820C2"/>
    <w:rsid w:val="00090183"/>
    <w:rsid w:val="000920FF"/>
    <w:rsid w:val="00095502"/>
    <w:rsid w:val="00095BA5"/>
    <w:rsid w:val="000A3BBF"/>
    <w:rsid w:val="000A4F4A"/>
    <w:rsid w:val="000B6E5C"/>
    <w:rsid w:val="000B78BA"/>
    <w:rsid w:val="000C79F3"/>
    <w:rsid w:val="000D1991"/>
    <w:rsid w:val="000F3FE0"/>
    <w:rsid w:val="00102859"/>
    <w:rsid w:val="001036B2"/>
    <w:rsid w:val="001161A9"/>
    <w:rsid w:val="00122B07"/>
    <w:rsid w:val="00125330"/>
    <w:rsid w:val="0013102B"/>
    <w:rsid w:val="00140978"/>
    <w:rsid w:val="00142150"/>
    <w:rsid w:val="001460B8"/>
    <w:rsid w:val="00146E94"/>
    <w:rsid w:val="00152C73"/>
    <w:rsid w:val="0017343E"/>
    <w:rsid w:val="00173A4F"/>
    <w:rsid w:val="0017483E"/>
    <w:rsid w:val="0017524F"/>
    <w:rsid w:val="00177597"/>
    <w:rsid w:val="00194612"/>
    <w:rsid w:val="001A0419"/>
    <w:rsid w:val="001A20BD"/>
    <w:rsid w:val="001A5A73"/>
    <w:rsid w:val="001B14DB"/>
    <w:rsid w:val="001B6D11"/>
    <w:rsid w:val="001D3ED3"/>
    <w:rsid w:val="001E4739"/>
    <w:rsid w:val="001F1084"/>
    <w:rsid w:val="00202197"/>
    <w:rsid w:val="00203FA2"/>
    <w:rsid w:val="00207119"/>
    <w:rsid w:val="00213376"/>
    <w:rsid w:val="0021640F"/>
    <w:rsid w:val="002304E9"/>
    <w:rsid w:val="0024470B"/>
    <w:rsid w:val="00245DDF"/>
    <w:rsid w:val="00250843"/>
    <w:rsid w:val="00252297"/>
    <w:rsid w:val="002755B3"/>
    <w:rsid w:val="00275D49"/>
    <w:rsid w:val="00292B28"/>
    <w:rsid w:val="00292FD5"/>
    <w:rsid w:val="002B03B3"/>
    <w:rsid w:val="002B0434"/>
    <w:rsid w:val="002B30A1"/>
    <w:rsid w:val="002C20C5"/>
    <w:rsid w:val="002C3F37"/>
    <w:rsid w:val="002D464E"/>
    <w:rsid w:val="002E0C3B"/>
    <w:rsid w:val="002F07DE"/>
    <w:rsid w:val="002F3081"/>
    <w:rsid w:val="002F4A84"/>
    <w:rsid w:val="0030258D"/>
    <w:rsid w:val="00313E23"/>
    <w:rsid w:val="00322BB3"/>
    <w:rsid w:val="003238C4"/>
    <w:rsid w:val="00323E11"/>
    <w:rsid w:val="00326A7B"/>
    <w:rsid w:val="00333A77"/>
    <w:rsid w:val="00342277"/>
    <w:rsid w:val="003422B8"/>
    <w:rsid w:val="00352A49"/>
    <w:rsid w:val="00375FAF"/>
    <w:rsid w:val="00387F77"/>
    <w:rsid w:val="00392CF5"/>
    <w:rsid w:val="00393059"/>
    <w:rsid w:val="0039438E"/>
    <w:rsid w:val="00397724"/>
    <w:rsid w:val="003A66B7"/>
    <w:rsid w:val="003C184C"/>
    <w:rsid w:val="003D2A87"/>
    <w:rsid w:val="003D6861"/>
    <w:rsid w:val="003F1A24"/>
    <w:rsid w:val="003F290A"/>
    <w:rsid w:val="00400957"/>
    <w:rsid w:val="00402818"/>
    <w:rsid w:val="00402C34"/>
    <w:rsid w:val="00402DA4"/>
    <w:rsid w:val="0041609D"/>
    <w:rsid w:val="0041770D"/>
    <w:rsid w:val="0042747D"/>
    <w:rsid w:val="0044037D"/>
    <w:rsid w:val="00445B01"/>
    <w:rsid w:val="00445BB7"/>
    <w:rsid w:val="00454648"/>
    <w:rsid w:val="00474659"/>
    <w:rsid w:val="004839FB"/>
    <w:rsid w:val="00483DE2"/>
    <w:rsid w:val="00485A7A"/>
    <w:rsid w:val="00486547"/>
    <w:rsid w:val="00495FD7"/>
    <w:rsid w:val="00497EB4"/>
    <w:rsid w:val="004A1EE8"/>
    <w:rsid w:val="004A3076"/>
    <w:rsid w:val="004A76DF"/>
    <w:rsid w:val="004C0D56"/>
    <w:rsid w:val="004C71F3"/>
    <w:rsid w:val="004C73BC"/>
    <w:rsid w:val="004D0503"/>
    <w:rsid w:val="004E213E"/>
    <w:rsid w:val="004E40F6"/>
    <w:rsid w:val="004E68DA"/>
    <w:rsid w:val="004F75E0"/>
    <w:rsid w:val="005044B9"/>
    <w:rsid w:val="00507136"/>
    <w:rsid w:val="005071A3"/>
    <w:rsid w:val="0051154A"/>
    <w:rsid w:val="00512E9D"/>
    <w:rsid w:val="005153A0"/>
    <w:rsid w:val="00521C31"/>
    <w:rsid w:val="005275FC"/>
    <w:rsid w:val="00534FB0"/>
    <w:rsid w:val="00544F64"/>
    <w:rsid w:val="00554CDE"/>
    <w:rsid w:val="005561EE"/>
    <w:rsid w:val="00560BB9"/>
    <w:rsid w:val="00563136"/>
    <w:rsid w:val="0056673F"/>
    <w:rsid w:val="005675C3"/>
    <w:rsid w:val="00580335"/>
    <w:rsid w:val="00581D7E"/>
    <w:rsid w:val="00595F29"/>
    <w:rsid w:val="00596746"/>
    <w:rsid w:val="005A2AAE"/>
    <w:rsid w:val="005C20B9"/>
    <w:rsid w:val="005D3A14"/>
    <w:rsid w:val="005D7B39"/>
    <w:rsid w:val="005D7D59"/>
    <w:rsid w:val="005E7800"/>
    <w:rsid w:val="005F1BCD"/>
    <w:rsid w:val="005F3009"/>
    <w:rsid w:val="005F678C"/>
    <w:rsid w:val="005F76DF"/>
    <w:rsid w:val="0061115D"/>
    <w:rsid w:val="00613538"/>
    <w:rsid w:val="00616228"/>
    <w:rsid w:val="00616842"/>
    <w:rsid w:val="006171EE"/>
    <w:rsid w:val="00625E52"/>
    <w:rsid w:val="006271E9"/>
    <w:rsid w:val="006276C3"/>
    <w:rsid w:val="00635295"/>
    <w:rsid w:val="0064279D"/>
    <w:rsid w:val="00642EA0"/>
    <w:rsid w:val="00646250"/>
    <w:rsid w:val="00651E89"/>
    <w:rsid w:val="00655C5B"/>
    <w:rsid w:val="00660EB9"/>
    <w:rsid w:val="00666215"/>
    <w:rsid w:val="0068250E"/>
    <w:rsid w:val="00683CA7"/>
    <w:rsid w:val="00684328"/>
    <w:rsid w:val="006A2C86"/>
    <w:rsid w:val="006A5D9A"/>
    <w:rsid w:val="006C15DA"/>
    <w:rsid w:val="006C18F2"/>
    <w:rsid w:val="006C3194"/>
    <w:rsid w:val="006D7732"/>
    <w:rsid w:val="006E0D4C"/>
    <w:rsid w:val="006E127E"/>
    <w:rsid w:val="006E75BA"/>
    <w:rsid w:val="006F4FA3"/>
    <w:rsid w:val="007001DA"/>
    <w:rsid w:val="00704FF2"/>
    <w:rsid w:val="0071179C"/>
    <w:rsid w:val="00712BBB"/>
    <w:rsid w:val="0071530B"/>
    <w:rsid w:val="00731E46"/>
    <w:rsid w:val="0073644D"/>
    <w:rsid w:val="00742DD9"/>
    <w:rsid w:val="00765A47"/>
    <w:rsid w:val="00767BFB"/>
    <w:rsid w:val="00770BB6"/>
    <w:rsid w:val="007904DC"/>
    <w:rsid w:val="007923F7"/>
    <w:rsid w:val="007A4180"/>
    <w:rsid w:val="007B5448"/>
    <w:rsid w:val="007C087F"/>
    <w:rsid w:val="007C6E0D"/>
    <w:rsid w:val="007D3518"/>
    <w:rsid w:val="007E2F8F"/>
    <w:rsid w:val="007E418B"/>
    <w:rsid w:val="007E4961"/>
    <w:rsid w:val="007F6957"/>
    <w:rsid w:val="00800210"/>
    <w:rsid w:val="0080053F"/>
    <w:rsid w:val="00805233"/>
    <w:rsid w:val="00805384"/>
    <w:rsid w:val="0081424C"/>
    <w:rsid w:val="0082392D"/>
    <w:rsid w:val="00831E45"/>
    <w:rsid w:val="00833C41"/>
    <w:rsid w:val="008476AC"/>
    <w:rsid w:val="008604CF"/>
    <w:rsid w:val="00865E86"/>
    <w:rsid w:val="0087019F"/>
    <w:rsid w:val="008758DD"/>
    <w:rsid w:val="00876721"/>
    <w:rsid w:val="00877D9E"/>
    <w:rsid w:val="00883ABA"/>
    <w:rsid w:val="008919BB"/>
    <w:rsid w:val="008A57C1"/>
    <w:rsid w:val="008B3727"/>
    <w:rsid w:val="008B5F90"/>
    <w:rsid w:val="008C47D0"/>
    <w:rsid w:val="008C5166"/>
    <w:rsid w:val="008D4473"/>
    <w:rsid w:val="008E2CA2"/>
    <w:rsid w:val="008E33EC"/>
    <w:rsid w:val="008F427F"/>
    <w:rsid w:val="009014DF"/>
    <w:rsid w:val="00901A3F"/>
    <w:rsid w:val="00922A49"/>
    <w:rsid w:val="00925E34"/>
    <w:rsid w:val="00926A04"/>
    <w:rsid w:val="009307F2"/>
    <w:rsid w:val="00935BFC"/>
    <w:rsid w:val="00936D4D"/>
    <w:rsid w:val="009431D2"/>
    <w:rsid w:val="00943D98"/>
    <w:rsid w:val="00950B69"/>
    <w:rsid w:val="00957281"/>
    <w:rsid w:val="00976098"/>
    <w:rsid w:val="00982D52"/>
    <w:rsid w:val="009833CC"/>
    <w:rsid w:val="009852FD"/>
    <w:rsid w:val="00985896"/>
    <w:rsid w:val="00997DEC"/>
    <w:rsid w:val="009A351F"/>
    <w:rsid w:val="009A647D"/>
    <w:rsid w:val="009A6B02"/>
    <w:rsid w:val="009B72F1"/>
    <w:rsid w:val="009B75DC"/>
    <w:rsid w:val="009C2D05"/>
    <w:rsid w:val="009D4D69"/>
    <w:rsid w:val="009D7BB9"/>
    <w:rsid w:val="009E4B88"/>
    <w:rsid w:val="009E6F80"/>
    <w:rsid w:val="009F4A04"/>
    <w:rsid w:val="00A02679"/>
    <w:rsid w:val="00A151F0"/>
    <w:rsid w:val="00A31A5D"/>
    <w:rsid w:val="00A34547"/>
    <w:rsid w:val="00A429D7"/>
    <w:rsid w:val="00A46B1C"/>
    <w:rsid w:val="00A51BCB"/>
    <w:rsid w:val="00A56B6E"/>
    <w:rsid w:val="00A61C28"/>
    <w:rsid w:val="00A64D70"/>
    <w:rsid w:val="00A6505C"/>
    <w:rsid w:val="00A94926"/>
    <w:rsid w:val="00A94C1F"/>
    <w:rsid w:val="00AA3F45"/>
    <w:rsid w:val="00AB004E"/>
    <w:rsid w:val="00AB3BB0"/>
    <w:rsid w:val="00AB5E23"/>
    <w:rsid w:val="00AC3C68"/>
    <w:rsid w:val="00AD7D2F"/>
    <w:rsid w:val="00AE52BA"/>
    <w:rsid w:val="00AF05E8"/>
    <w:rsid w:val="00AF06DC"/>
    <w:rsid w:val="00B02CE8"/>
    <w:rsid w:val="00B119C5"/>
    <w:rsid w:val="00B204B6"/>
    <w:rsid w:val="00B27DAF"/>
    <w:rsid w:val="00B45D0F"/>
    <w:rsid w:val="00B53904"/>
    <w:rsid w:val="00B5703F"/>
    <w:rsid w:val="00B62A85"/>
    <w:rsid w:val="00B64733"/>
    <w:rsid w:val="00B67D90"/>
    <w:rsid w:val="00B72E73"/>
    <w:rsid w:val="00B758EB"/>
    <w:rsid w:val="00B856FE"/>
    <w:rsid w:val="00B87055"/>
    <w:rsid w:val="00B92366"/>
    <w:rsid w:val="00B95C39"/>
    <w:rsid w:val="00B96E95"/>
    <w:rsid w:val="00BA1C39"/>
    <w:rsid w:val="00BA2D65"/>
    <w:rsid w:val="00BB0650"/>
    <w:rsid w:val="00BB72AA"/>
    <w:rsid w:val="00BC128C"/>
    <w:rsid w:val="00BE5A05"/>
    <w:rsid w:val="00BE61CA"/>
    <w:rsid w:val="00C042A9"/>
    <w:rsid w:val="00C075F5"/>
    <w:rsid w:val="00C22212"/>
    <w:rsid w:val="00C22712"/>
    <w:rsid w:val="00C2589E"/>
    <w:rsid w:val="00C35601"/>
    <w:rsid w:val="00C41916"/>
    <w:rsid w:val="00C47920"/>
    <w:rsid w:val="00C51182"/>
    <w:rsid w:val="00C55CB5"/>
    <w:rsid w:val="00C605AB"/>
    <w:rsid w:val="00C71B26"/>
    <w:rsid w:val="00C8012C"/>
    <w:rsid w:val="00CA5290"/>
    <w:rsid w:val="00CB05BF"/>
    <w:rsid w:val="00CB73D0"/>
    <w:rsid w:val="00CC217C"/>
    <w:rsid w:val="00CD27E9"/>
    <w:rsid w:val="00CE4F17"/>
    <w:rsid w:val="00D0424C"/>
    <w:rsid w:val="00D042F3"/>
    <w:rsid w:val="00D05AFC"/>
    <w:rsid w:val="00D0768A"/>
    <w:rsid w:val="00D2209F"/>
    <w:rsid w:val="00D23509"/>
    <w:rsid w:val="00D24AD7"/>
    <w:rsid w:val="00D273E9"/>
    <w:rsid w:val="00D350F8"/>
    <w:rsid w:val="00D432D5"/>
    <w:rsid w:val="00D50379"/>
    <w:rsid w:val="00D50B6C"/>
    <w:rsid w:val="00D63BE8"/>
    <w:rsid w:val="00D65606"/>
    <w:rsid w:val="00D6694D"/>
    <w:rsid w:val="00D7138A"/>
    <w:rsid w:val="00D72CBA"/>
    <w:rsid w:val="00D76584"/>
    <w:rsid w:val="00D77EA5"/>
    <w:rsid w:val="00D8741B"/>
    <w:rsid w:val="00D9068E"/>
    <w:rsid w:val="00D906AF"/>
    <w:rsid w:val="00D96015"/>
    <w:rsid w:val="00D9622F"/>
    <w:rsid w:val="00D977F8"/>
    <w:rsid w:val="00DA1E92"/>
    <w:rsid w:val="00DB683C"/>
    <w:rsid w:val="00DD0F97"/>
    <w:rsid w:val="00DD2BD8"/>
    <w:rsid w:val="00DD719B"/>
    <w:rsid w:val="00DE024B"/>
    <w:rsid w:val="00DF00DF"/>
    <w:rsid w:val="00DF6641"/>
    <w:rsid w:val="00E076BC"/>
    <w:rsid w:val="00E1076A"/>
    <w:rsid w:val="00E243F1"/>
    <w:rsid w:val="00E33E61"/>
    <w:rsid w:val="00E37887"/>
    <w:rsid w:val="00E410E7"/>
    <w:rsid w:val="00E42547"/>
    <w:rsid w:val="00E46C36"/>
    <w:rsid w:val="00E50EDE"/>
    <w:rsid w:val="00E51BFF"/>
    <w:rsid w:val="00E80280"/>
    <w:rsid w:val="00E809DF"/>
    <w:rsid w:val="00E858AD"/>
    <w:rsid w:val="00E85D5F"/>
    <w:rsid w:val="00E87705"/>
    <w:rsid w:val="00E94106"/>
    <w:rsid w:val="00E9656C"/>
    <w:rsid w:val="00EB1914"/>
    <w:rsid w:val="00EB3406"/>
    <w:rsid w:val="00EB41BE"/>
    <w:rsid w:val="00EB45B4"/>
    <w:rsid w:val="00EB6DC6"/>
    <w:rsid w:val="00EC20A3"/>
    <w:rsid w:val="00EC22DA"/>
    <w:rsid w:val="00EC49D7"/>
    <w:rsid w:val="00ED57C3"/>
    <w:rsid w:val="00EE476F"/>
    <w:rsid w:val="00EE522F"/>
    <w:rsid w:val="00EF4042"/>
    <w:rsid w:val="00F030AD"/>
    <w:rsid w:val="00F149D8"/>
    <w:rsid w:val="00F15E6B"/>
    <w:rsid w:val="00F1771F"/>
    <w:rsid w:val="00F32DBC"/>
    <w:rsid w:val="00F34D12"/>
    <w:rsid w:val="00F44117"/>
    <w:rsid w:val="00F5475F"/>
    <w:rsid w:val="00F557B1"/>
    <w:rsid w:val="00F63B33"/>
    <w:rsid w:val="00F67BD1"/>
    <w:rsid w:val="00F70CC6"/>
    <w:rsid w:val="00F74BE8"/>
    <w:rsid w:val="00F75C35"/>
    <w:rsid w:val="00F819E8"/>
    <w:rsid w:val="00F92C5B"/>
    <w:rsid w:val="00F9430C"/>
    <w:rsid w:val="00FA28C1"/>
    <w:rsid w:val="00FA33FE"/>
    <w:rsid w:val="00FA57BD"/>
    <w:rsid w:val="00FA6342"/>
    <w:rsid w:val="00FB299E"/>
    <w:rsid w:val="00FC061C"/>
    <w:rsid w:val="00FC5E84"/>
    <w:rsid w:val="00FD0D84"/>
    <w:rsid w:val="00FD1A27"/>
    <w:rsid w:val="00FD3C8A"/>
    <w:rsid w:val="00FD5661"/>
    <w:rsid w:val="00FE6C49"/>
    <w:rsid w:val="00FF4912"/>
    <w:rsid w:val="00FF4ECF"/>
    <w:rsid w:val="0272C9E8"/>
    <w:rsid w:val="07561C29"/>
    <w:rsid w:val="121B3D24"/>
    <w:rsid w:val="16410265"/>
    <w:rsid w:val="1A074797"/>
    <w:rsid w:val="1D8D68CC"/>
    <w:rsid w:val="21D40D08"/>
    <w:rsid w:val="25900B44"/>
    <w:rsid w:val="2CEB8C05"/>
    <w:rsid w:val="2ED4271C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679807"/>
    <w:rsid w:val="62BBF70B"/>
    <w:rsid w:val="6487ACDB"/>
    <w:rsid w:val="6850B236"/>
    <w:rsid w:val="6B22A4E0"/>
    <w:rsid w:val="7178BE07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373592-315C-4A3D-B554-64078299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D76584"/>
  </w:style>
  <w:style w:type="character" w:styleId="Mention">
    <w:name w:val="Mention"/>
    <w:basedOn w:val="DefaultParagraphFont"/>
    <w:uiPriority w:val="99"/>
    <w:unhideWhenUsed/>
    <w:rsid w:val="00DF664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eventhelix.com/5G/standalone-access-registration/details/5g-standalone-access-registration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venthelix.com/5G/standalone-access-registration/details/5g-standalone-access-registration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www.eventhelix.com/5G/standalone-access-registration/details/5g-standalone-access-registration.html" TargetMode="External"/><Relationship Id="rId10" Type="http://schemas.openxmlformats.org/officeDocument/2006/relationships/hyperlink" Target="https://www.3gpp.org/DynaReport/29503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eventhelix.com/5G/standalone-access-registration/details/5g-standalone-access-regist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BA64AB10-EFD5-4E97-820C-F4E878F39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223</cp:revision>
  <dcterms:created xsi:type="dcterms:W3CDTF">2021-09-21T15:50:00Z</dcterms:created>
  <dcterms:modified xsi:type="dcterms:W3CDTF">2022-09-19T14:55:00Z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