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6FE1910C" w:rsidR="4B0E0084" w:rsidRPr="00B829EF" w:rsidRDefault="00E3517F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FGT50</w:t>
      </w:r>
      <w:r w:rsidR="008C4345">
        <w:rPr>
          <w:rFonts w:ascii="Arial" w:eastAsia="Arial" w:hAnsi="Arial" w:cs="Arial"/>
          <w:sz w:val="44"/>
          <w:szCs w:val="44"/>
        </w:rPr>
        <w:t>2</w:t>
      </w:r>
      <w:r>
        <w:rPr>
          <w:rFonts w:ascii="Arial" w:eastAsia="Arial" w:hAnsi="Arial" w:cs="Arial"/>
          <w:sz w:val="44"/>
          <w:szCs w:val="44"/>
        </w:rPr>
        <w:t>3 Charging fraud via NF control</w:t>
      </w:r>
      <w:r w:rsidR="4B0E0084" w:rsidRPr="7709D47F">
        <w:rPr>
          <w:rFonts w:ascii="Arial" w:eastAsia="Arial" w:hAnsi="Arial" w:cs="Arial"/>
          <w:sz w:val="44"/>
          <w:szCs w:val="44"/>
        </w:rPr>
        <w:t xml:space="preserve"> </w:t>
      </w:r>
    </w:p>
    <w:p w14:paraId="2A4E9104" w14:textId="02B34713" w:rsidR="00E410E7" w:rsidRDefault="00E410E7" w:rsidP="3EDC4A28">
      <w:pPr>
        <w:rPr>
          <w:rFonts w:ascii="Arial" w:eastAsia="Arial" w:hAnsi="Arial" w:cs="Arial"/>
          <w:lang w:val="en"/>
        </w:rPr>
      </w:pPr>
      <w:r w:rsidRPr="3EF815EC">
        <w:rPr>
          <w:rFonts w:ascii="Arial" w:eastAsia="Arial" w:hAnsi="Arial" w:cs="Arial"/>
        </w:rPr>
        <w:t xml:space="preserve">Description: </w:t>
      </w:r>
      <w:r w:rsidR="00EB39ED">
        <w:rPr>
          <w:rFonts w:ascii="Arial" w:eastAsia="Arial" w:hAnsi="Arial" w:cs="Arial"/>
        </w:rPr>
        <w:t>An a</w:t>
      </w:r>
      <w:r w:rsidR="00A33C65" w:rsidRPr="3EF815EC">
        <w:rPr>
          <w:rFonts w:ascii="Arial" w:eastAsia="Arial" w:hAnsi="Arial" w:cs="Arial"/>
        </w:rPr>
        <w:t>dversary controlling a control plane network function</w:t>
      </w:r>
      <w:r w:rsidR="002017E5">
        <w:rPr>
          <w:rFonts w:ascii="Arial" w:eastAsia="Arial" w:hAnsi="Arial" w:cs="Arial"/>
        </w:rPr>
        <w:t xml:space="preserve"> (NF)</w:t>
      </w:r>
      <w:r w:rsidR="00EB39ED">
        <w:rPr>
          <w:rFonts w:ascii="Arial" w:eastAsia="Arial" w:hAnsi="Arial" w:cs="Arial"/>
        </w:rPr>
        <w:t xml:space="preserve"> may</w:t>
      </w:r>
      <w:r w:rsidR="00A33C65" w:rsidRPr="3EF815EC">
        <w:rPr>
          <w:rFonts w:ascii="Arial" w:eastAsia="Arial" w:hAnsi="Arial" w:cs="Arial"/>
        </w:rPr>
        <w:t xml:space="preserve"> manipulate signaling or parameters to achieve charging/billing fraud where victim is UE or operator itself</w:t>
      </w:r>
      <w:r w:rsidR="00B829EF" w:rsidRPr="3EF815EC">
        <w:rPr>
          <w:rFonts w:ascii="Arial" w:eastAsia="Arial" w:hAnsi="Arial" w:cs="Arial"/>
          <w:lang w:val="en"/>
        </w:rPr>
        <w:t>.</w:t>
      </w:r>
      <w:r w:rsidRPr="3EF815EC">
        <w:rPr>
          <w:rFonts w:ascii="Arial" w:eastAsia="Arial" w:hAnsi="Arial" w:cs="Arial"/>
          <w:lang w:val="en"/>
        </w:rPr>
        <w:t xml:space="preserve"> </w:t>
      </w:r>
    </w:p>
    <w:p w14:paraId="4ECFFDDB" w14:textId="77777777" w:rsidR="00D21B0A" w:rsidRDefault="00D21B0A" w:rsidP="3EDC4A28">
      <w:pPr>
        <w:rPr>
          <w:rFonts w:ascii="Arial" w:eastAsia="Arial" w:hAnsi="Arial" w:cs="Arial"/>
          <w:lang w:val="en"/>
        </w:rPr>
      </w:pPr>
    </w:p>
    <w:p w14:paraId="77539A62" w14:textId="43154A8A" w:rsidR="00D21B0A" w:rsidRDefault="00D21B0A" w:rsidP="3EDC4A28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 xml:space="preserve">There are multiple procedures to </w:t>
      </w:r>
      <w:r w:rsidR="002017E5">
        <w:rPr>
          <w:rFonts w:ascii="Arial" w:eastAsia="Arial" w:hAnsi="Arial" w:cs="Arial"/>
          <w:lang w:val="en"/>
        </w:rPr>
        <w:t>support this adversarial behavior, and they depend on the NF that is compromised.</w:t>
      </w:r>
    </w:p>
    <w:p w14:paraId="31369EBF" w14:textId="07B7430E" w:rsidR="3EF815EC" w:rsidRDefault="3EF815EC" w:rsidP="3EF815EC">
      <w:pPr>
        <w:rPr>
          <w:rFonts w:ascii="Arial" w:eastAsia="Arial" w:hAnsi="Arial" w:cs="Arial"/>
          <w:lang w:val="en"/>
        </w:rPr>
      </w:pPr>
    </w:p>
    <w:p w14:paraId="2AF0CDD6" w14:textId="12ECC790" w:rsidR="00651E89" w:rsidRPr="00B829EF" w:rsidRDefault="00651E89" w:rsidP="4EE4027F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Labelling:</w:t>
      </w:r>
    </w:p>
    <w:p w14:paraId="261D345D" w14:textId="513FF2C2" w:rsidR="004E68DA" w:rsidRPr="00B829EF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3EF815EC">
        <w:rPr>
          <w:rFonts w:ascii="Arial" w:eastAsia="Arial" w:hAnsi="Arial" w:cs="Arial"/>
        </w:rPr>
        <w:t>Sub-</w:t>
      </w:r>
      <w:r w:rsidR="00882C42" w:rsidRPr="3EF815EC">
        <w:rPr>
          <w:rFonts w:ascii="Arial" w:eastAsia="Arial" w:hAnsi="Arial" w:cs="Arial"/>
        </w:rPr>
        <w:t>t</w:t>
      </w:r>
      <w:r w:rsidRPr="3EF815EC">
        <w:rPr>
          <w:rFonts w:ascii="Arial" w:eastAsia="Arial" w:hAnsi="Arial" w:cs="Arial"/>
        </w:rPr>
        <w:t>echnique</w:t>
      </w:r>
      <w:r w:rsidR="00A151F0" w:rsidRPr="3EF815EC">
        <w:rPr>
          <w:rFonts w:ascii="Arial" w:eastAsia="Arial" w:hAnsi="Arial" w:cs="Arial"/>
        </w:rPr>
        <w:t>(s)</w:t>
      </w:r>
      <w:r w:rsidR="000E5B3B" w:rsidRPr="3EF815EC">
        <w:rPr>
          <w:rFonts w:ascii="Arial" w:eastAsia="Arial" w:hAnsi="Arial" w:cs="Arial"/>
        </w:rPr>
        <w:t xml:space="preserve">: </w:t>
      </w:r>
      <w:r w:rsidR="004F3A7E">
        <w:rPr>
          <w:rFonts w:ascii="Arial" w:eastAsia="Arial" w:hAnsi="Arial" w:cs="Arial"/>
        </w:rPr>
        <w:t>N</w:t>
      </w:r>
      <w:r w:rsidR="000E5B3B" w:rsidRPr="3EF815EC">
        <w:rPr>
          <w:rFonts w:ascii="Arial" w:eastAsia="Arial" w:hAnsi="Arial" w:cs="Arial"/>
        </w:rPr>
        <w:t>one</w:t>
      </w:r>
    </w:p>
    <w:p w14:paraId="1B8F05CE" w14:textId="59CD813F" w:rsidR="00AF06DC" w:rsidRPr="00B829EF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 xml:space="preserve">Applicable </w:t>
      </w:r>
      <w:r w:rsidR="00AF06DC" w:rsidRPr="00B829EF">
        <w:rPr>
          <w:rFonts w:ascii="Arial" w:eastAsia="Arial" w:hAnsi="Arial" w:cs="Arial"/>
        </w:rPr>
        <w:t xml:space="preserve">Tactics:  </w:t>
      </w:r>
      <w:r w:rsidR="005D0540">
        <w:rPr>
          <w:rFonts w:ascii="Arial" w:eastAsia="Arial" w:hAnsi="Arial" w:cs="Arial"/>
        </w:rPr>
        <w:t>Fraud</w:t>
      </w:r>
    </w:p>
    <w:p w14:paraId="00D46F48" w14:textId="382F8DFB" w:rsidR="00B64733" w:rsidRPr="00B829EF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B829EF" w:rsidRDefault="00A61C28" w:rsidP="000F3FE0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Metadata:</w:t>
      </w:r>
    </w:p>
    <w:p w14:paraId="49ADD7DD" w14:textId="34D93BE3" w:rsidR="005D0540" w:rsidRDefault="000E5B3B" w:rsidP="0088494C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5D0540">
        <w:rPr>
          <w:rFonts w:ascii="Arial" w:eastAsia="Arial" w:hAnsi="Arial" w:cs="Arial"/>
        </w:rPr>
        <w:t>Ar</w:t>
      </w:r>
      <w:r w:rsidR="2E11BB01" w:rsidRPr="005D0540">
        <w:rPr>
          <w:rFonts w:ascii="Arial" w:eastAsia="Arial" w:hAnsi="Arial" w:cs="Arial"/>
        </w:rPr>
        <w:t>chitecture</w:t>
      </w:r>
      <w:r w:rsidRPr="005D0540">
        <w:rPr>
          <w:rFonts w:ascii="Arial" w:eastAsia="Arial" w:hAnsi="Arial" w:cs="Arial"/>
        </w:rPr>
        <w:t xml:space="preserve"> segment</w:t>
      </w:r>
      <w:r w:rsidR="78666845" w:rsidRPr="005D0540">
        <w:rPr>
          <w:rFonts w:ascii="Arial" w:eastAsia="Arial" w:hAnsi="Arial" w:cs="Arial"/>
        </w:rPr>
        <w:t xml:space="preserve">:  </w:t>
      </w:r>
      <w:r w:rsidR="00AE253E" w:rsidRPr="005D0540">
        <w:rPr>
          <w:rFonts w:ascii="Arial" w:eastAsia="Arial" w:hAnsi="Arial" w:cs="Arial"/>
        </w:rPr>
        <w:t>C</w:t>
      </w:r>
      <w:r w:rsidR="00606A94" w:rsidRPr="005D0540">
        <w:rPr>
          <w:rFonts w:ascii="Arial" w:eastAsia="Arial" w:hAnsi="Arial" w:cs="Arial"/>
        </w:rPr>
        <w:t>ontrol</w:t>
      </w:r>
      <w:r w:rsidR="00B15B19">
        <w:rPr>
          <w:rFonts w:ascii="Arial" w:eastAsia="Arial" w:hAnsi="Arial" w:cs="Arial"/>
        </w:rPr>
        <w:t>-p</w:t>
      </w:r>
      <w:r w:rsidR="00606A94" w:rsidRPr="005D0540">
        <w:rPr>
          <w:rFonts w:ascii="Arial" w:eastAsia="Arial" w:hAnsi="Arial" w:cs="Arial"/>
        </w:rPr>
        <w:t>lane</w:t>
      </w:r>
    </w:p>
    <w:p w14:paraId="264F76E1" w14:textId="737D8492" w:rsidR="00C605AB" w:rsidRPr="005D0540" w:rsidRDefault="00683CA7" w:rsidP="0088494C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5D0540">
        <w:rPr>
          <w:rFonts w:ascii="Arial" w:eastAsia="Arial" w:hAnsi="Arial" w:cs="Arial"/>
        </w:rPr>
        <w:t xml:space="preserve">Platforms: </w:t>
      </w:r>
      <w:r w:rsidR="0019370B">
        <w:rPr>
          <w:rFonts w:ascii="Arial" w:eastAsia="Arial" w:hAnsi="Arial" w:cs="Arial"/>
        </w:rPr>
        <w:t>5G</w:t>
      </w:r>
    </w:p>
    <w:p w14:paraId="52F75D46" w14:textId="46B06F14" w:rsidR="004A76DF" w:rsidRPr="00B829EF" w:rsidRDefault="000E5B3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</w:rPr>
        <w:t>Access Type required</w:t>
      </w:r>
      <w:r>
        <w:rPr>
          <w:rFonts w:ascii="Arial" w:eastAsia="Arial" w:hAnsi="Arial" w:cs="Arial"/>
          <w:lang w:val="fr-FR"/>
        </w:rPr>
        <w:t>:</w:t>
      </w:r>
      <w:r w:rsidR="00F149D8" w:rsidRPr="00B829EF">
        <w:rPr>
          <w:rFonts w:ascii="Arial" w:eastAsia="Arial" w:hAnsi="Arial" w:cs="Arial"/>
          <w:lang w:val="fr-FR"/>
        </w:rPr>
        <w:t xml:space="preserve"> </w:t>
      </w:r>
    </w:p>
    <w:p w14:paraId="46A3F73A" w14:textId="7EE26373" w:rsidR="00A94926" w:rsidRPr="00B829EF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561C9BE6">
        <w:rPr>
          <w:rFonts w:ascii="Arial" w:eastAsia="Arial" w:hAnsi="Arial" w:cs="Arial"/>
        </w:rPr>
        <w:t>Data Sources</w:t>
      </w:r>
      <w:r w:rsidR="00B829EF" w:rsidRPr="561C9BE6">
        <w:rPr>
          <w:rFonts w:ascii="Arial" w:eastAsia="Arial" w:hAnsi="Arial" w:cs="Arial"/>
        </w:rPr>
        <w:t xml:space="preserve">: </w:t>
      </w:r>
    </w:p>
    <w:p w14:paraId="7AE56E16" w14:textId="43F7DC0D" w:rsidR="00A94926" w:rsidRPr="00B829EF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Theoretical</w:t>
      </w:r>
      <w:r w:rsidR="00D7138A" w:rsidRPr="00B829EF">
        <w:rPr>
          <w:rFonts w:ascii="Arial" w:eastAsia="Arial" w:hAnsi="Arial" w:cs="Arial"/>
        </w:rPr>
        <w:t>/Observed</w:t>
      </w:r>
      <w:r w:rsidRPr="00B829EF">
        <w:rPr>
          <w:rFonts w:ascii="Arial" w:eastAsia="Arial" w:hAnsi="Arial" w:cs="Arial"/>
        </w:rPr>
        <w:t xml:space="preserve">:  </w:t>
      </w:r>
      <w:r w:rsidR="00B829EF">
        <w:rPr>
          <w:rFonts w:ascii="Arial" w:eastAsia="Arial" w:hAnsi="Arial" w:cs="Arial"/>
        </w:rPr>
        <w:t>Theoretical</w:t>
      </w:r>
    </w:p>
    <w:p w14:paraId="351E107E" w14:textId="77777777" w:rsidR="005C20B9" w:rsidRPr="00B829EF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72BAFB19" w:rsidR="2CEB8C05" w:rsidRPr="004504C0" w:rsidRDefault="2CEB8C05" w:rsidP="5986D52C">
      <w:pPr>
        <w:rPr>
          <w:rFonts w:ascii="Arial" w:eastAsia="Arial" w:hAnsi="Arial" w:cs="Arial"/>
        </w:rPr>
      </w:pPr>
      <w:r w:rsidRPr="54C548D6">
        <w:rPr>
          <w:rFonts w:ascii="Arial" w:eastAsia="Arial" w:hAnsi="Arial" w:cs="Arial"/>
        </w:rPr>
        <w:t>Procedure Examples</w:t>
      </w:r>
      <w:r w:rsidR="00402DA4" w:rsidRPr="54C548D6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4504C0" w14:paraId="2845C53F" w14:textId="77777777" w:rsidTr="54C548D6">
        <w:tc>
          <w:tcPr>
            <w:tcW w:w="4680" w:type="dxa"/>
          </w:tcPr>
          <w:p w14:paraId="79B4C725" w14:textId="0F76A2ED" w:rsidR="5986D52C" w:rsidRPr="004504C0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504C0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4504C0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4504C0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504C0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4504C0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4504C0" w14:paraId="211679DE" w14:textId="77777777" w:rsidTr="54C548D6">
        <w:tc>
          <w:tcPr>
            <w:tcW w:w="4680" w:type="dxa"/>
          </w:tcPr>
          <w:p w14:paraId="35EB4C3D" w14:textId="33CC7EED" w:rsidR="5986D52C" w:rsidRPr="004504C0" w:rsidRDefault="00E23C96" w:rsidP="00606A9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504C0">
              <w:rPr>
                <w:rFonts w:ascii="Arial" w:eastAsia="Arial" w:hAnsi="Arial" w:cs="Arial"/>
                <w:sz w:val="16"/>
                <w:szCs w:val="16"/>
              </w:rPr>
              <w:t>SMF control</w:t>
            </w:r>
          </w:p>
        </w:tc>
        <w:tc>
          <w:tcPr>
            <w:tcW w:w="4680" w:type="dxa"/>
          </w:tcPr>
          <w:p w14:paraId="1603BC2A" w14:textId="3B8CDC74" w:rsidR="00F07794" w:rsidRPr="004504C0" w:rsidRDefault="00F07794" w:rsidP="00F07794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An adversary may control the SMF and assign the same </w:t>
            </w:r>
            <w:r w:rsidR="007509D9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SMF C</w:t>
            </w:r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harging </w:t>
            </w:r>
            <w:r w:rsidR="007509D9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</w:t>
            </w:r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dentifier to a device data flow as that of an existing victim device, to cause charging errors. </w:t>
            </w:r>
          </w:p>
          <w:p w14:paraId="02F28FB3" w14:textId="5CEC9464" w:rsidR="07561C29" w:rsidRPr="004504C0" w:rsidRDefault="00247CE7" w:rsidP="00F07794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279B4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(</w:t>
            </w:r>
            <w:proofErr w:type="gramStart"/>
            <w:r w:rsidR="008E361D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section</w:t>
            </w:r>
            <w:proofErr w:type="gramEnd"/>
            <w:r w:rsidR="008E361D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5.1.4 &amp; annex A.1 of </w:t>
            </w:r>
            <w:r w:rsidR="00AA591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3GPP TS </w:t>
            </w:r>
            <w:r w:rsidR="008E361D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32.255</w:t>
            </w:r>
            <w:r w:rsidR="004279B4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).</w:t>
            </w:r>
          </w:p>
          <w:p w14:paraId="57ABFC49" w14:textId="599C6D09" w:rsidR="009E420B" w:rsidRPr="004504C0" w:rsidRDefault="009E420B" w:rsidP="00F07794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The SMF can also pause charging for a given UE (even though not warranted)</w:t>
            </w:r>
            <w:r w:rsidR="00134B15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, section 4.4.4. of </w:t>
            </w:r>
            <w:r w:rsidR="00AA591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3GPP </w:t>
            </w:r>
            <w:r w:rsidR="0022518E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TS</w:t>
            </w:r>
            <w:r w:rsidR="00AA591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134B15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23.502</w:t>
            </w:r>
            <w:r w:rsidR="007001EE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</w:p>
          <w:p w14:paraId="6BB7B8F4" w14:textId="51ACAC9B" w:rsidR="007001EE" w:rsidRPr="004504C0" w:rsidRDefault="007001EE" w:rsidP="00F07794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The SMF can also misreport 5G data used by a given UE.</w:t>
            </w:r>
          </w:p>
        </w:tc>
      </w:tr>
      <w:tr w:rsidR="00F8001E" w:rsidRPr="004504C0" w14:paraId="79D77FD0" w14:textId="77777777" w:rsidTr="54C548D6">
        <w:tc>
          <w:tcPr>
            <w:tcW w:w="4680" w:type="dxa"/>
          </w:tcPr>
          <w:p w14:paraId="2771D241" w14:textId="04D6AB69" w:rsidR="00F8001E" w:rsidRPr="004504C0" w:rsidRDefault="00E23C96" w:rsidP="00606A9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504C0">
              <w:rPr>
                <w:rFonts w:ascii="Arial" w:eastAsia="Arial" w:hAnsi="Arial" w:cs="Arial"/>
                <w:sz w:val="16"/>
                <w:szCs w:val="16"/>
              </w:rPr>
              <w:t>PCF control</w:t>
            </w:r>
          </w:p>
        </w:tc>
        <w:tc>
          <w:tcPr>
            <w:tcW w:w="4680" w:type="dxa"/>
          </w:tcPr>
          <w:p w14:paraId="549BD8C2" w14:textId="34C01A3A" w:rsidR="00F9748C" w:rsidRPr="004504C0" w:rsidRDefault="00F07794" w:rsidP="00E23C96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An adversary with control over the </w:t>
            </w:r>
            <w:r w:rsidR="00E23C96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PCF can change policy so that UE is allowed to consume a service it was not subscribed to- but it will still be traceable to that UE. </w:t>
            </w:r>
            <w:r w:rsidR="007D67C5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Sect</w:t>
            </w:r>
            <w:r w:rsidR="00174994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ion 4.3.2 of </w:t>
            </w:r>
            <w:r w:rsidR="00AA591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TS </w:t>
            </w:r>
            <w:r w:rsidR="00174994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23.503.</w:t>
            </w:r>
          </w:p>
        </w:tc>
      </w:tr>
      <w:tr w:rsidR="00F9748C" w:rsidRPr="004504C0" w14:paraId="4BC8FDF1" w14:textId="77777777" w:rsidTr="54C548D6">
        <w:tc>
          <w:tcPr>
            <w:tcW w:w="4680" w:type="dxa"/>
          </w:tcPr>
          <w:p w14:paraId="300C3377" w14:textId="3B7F577C" w:rsidR="00F9748C" w:rsidRPr="004504C0" w:rsidRDefault="00411411" w:rsidP="00606A9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504C0">
              <w:rPr>
                <w:rFonts w:ascii="Arial" w:eastAsia="Arial" w:hAnsi="Arial" w:cs="Arial"/>
                <w:sz w:val="16"/>
                <w:szCs w:val="16"/>
              </w:rPr>
              <w:t>CHF control</w:t>
            </w:r>
          </w:p>
        </w:tc>
        <w:tc>
          <w:tcPr>
            <w:tcW w:w="4680" w:type="dxa"/>
          </w:tcPr>
          <w:p w14:paraId="5F1F388A" w14:textId="30813683" w:rsidR="00F9748C" w:rsidRPr="004504C0" w:rsidRDefault="4684E45F" w:rsidP="00411411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54C548D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An adversary with control over the </w:t>
            </w:r>
            <w:r w:rsidR="45A26326" w:rsidRPr="54C548D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CHF can ignore when PCF tells it that the spending limit for this subscriber has been </w:t>
            </w:r>
            <w:proofErr w:type="gramStart"/>
            <w:r w:rsidR="45A26326" w:rsidRPr="54C548D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reached,</w:t>
            </w:r>
            <w:r w:rsidR="0019370B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45A26326" w:rsidRPr="54C548D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or</w:t>
            </w:r>
            <w:proofErr w:type="gramEnd"/>
            <w:r w:rsidR="45A26326" w:rsidRPr="54C548D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can ignore the SMS records from the SMSF (SMSF uses POST to put in data), or the SMF itself for 5G data it reports.</w:t>
            </w:r>
            <w:r w:rsidR="0B0F1D5F" w:rsidRPr="54C548D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180F8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3GPP </w:t>
            </w:r>
            <w:r w:rsidR="75A25DD4" w:rsidRPr="54C548D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TS </w:t>
            </w:r>
            <w:r w:rsidR="0B0F1D5F" w:rsidRPr="54C548D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32</w:t>
            </w:r>
            <w:r w:rsidR="75A25DD4" w:rsidRPr="54C548D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.24]</w:t>
            </w:r>
          </w:p>
        </w:tc>
      </w:tr>
      <w:tr w:rsidR="00F9748C" w:rsidRPr="004504C0" w14:paraId="20E35E8C" w14:textId="77777777" w:rsidTr="54C548D6">
        <w:tc>
          <w:tcPr>
            <w:tcW w:w="4680" w:type="dxa"/>
          </w:tcPr>
          <w:p w14:paraId="26FD414C" w14:textId="195513B8" w:rsidR="00F9748C" w:rsidRPr="004504C0" w:rsidRDefault="00716B8F" w:rsidP="00606A9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504C0">
              <w:rPr>
                <w:rFonts w:ascii="Arial" w:eastAsia="Arial" w:hAnsi="Arial" w:cs="Arial"/>
                <w:sz w:val="16"/>
                <w:szCs w:val="16"/>
              </w:rPr>
              <w:t>NEF control or Application Function (AF) control</w:t>
            </w:r>
            <w:r w:rsidR="00805F4A" w:rsidRPr="004504C0">
              <w:rPr>
                <w:rFonts w:ascii="Arial" w:eastAsia="Arial" w:hAnsi="Arial" w:cs="Arial"/>
                <w:sz w:val="16"/>
                <w:szCs w:val="16"/>
              </w:rPr>
              <w:t xml:space="preserve"> exploiting weak NEF</w:t>
            </w:r>
          </w:p>
        </w:tc>
        <w:tc>
          <w:tcPr>
            <w:tcW w:w="4680" w:type="dxa"/>
          </w:tcPr>
          <w:p w14:paraId="5544329A" w14:textId="00342F5E" w:rsidR="00411411" w:rsidRPr="004504C0" w:rsidRDefault="00411411" w:rsidP="00411411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on AF can attack a weak NEF. </w:t>
            </w:r>
            <w:proofErr w:type="gramStart"/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Or,</w:t>
            </w:r>
            <w:proofErr w:type="gramEnd"/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the NEF can be compromised and conduct this attack without even an AF. </w:t>
            </w:r>
          </w:p>
          <w:p w14:paraId="5CBEDAF9" w14:textId="54AF6C56" w:rsidR="00F9748C" w:rsidRPr="004504C0" w:rsidRDefault="00805F4A" w:rsidP="00411411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</w:t>
            </w:r>
            <w:r w:rsidR="00411411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n AF can ask the NEF to change the “chargeable party” (</w:t>
            </w:r>
            <w:r w:rsidR="00180F8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3GPP </w:t>
            </w:r>
            <w:r w:rsidR="00AA1332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TS</w:t>
            </w:r>
            <w:r w:rsidR="00180F8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11411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29.522 section 4.4.8</w:t>
            </w:r>
            <w:r w:rsidR="009E0101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, </w:t>
            </w:r>
            <w:r w:rsidR="00180F8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3GPP </w:t>
            </w:r>
            <w:r w:rsidR="009E0101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TS</w:t>
            </w:r>
            <w:r w:rsidR="00180F8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20F49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29.122 section 4.4.4</w:t>
            </w:r>
            <w:r w:rsidR="00411411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). This is meant to support the AF being the chargeable party, but it’s imaginable how the AF can put a different AF as chargeable: it </w:t>
            </w:r>
            <w:proofErr w:type="gramStart"/>
            <w:r w:rsidR="00411411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has to</w:t>
            </w:r>
            <w:proofErr w:type="gramEnd"/>
            <w:r w:rsidR="00411411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send the AF identifier, UE IP address, Sponsor ID, ASP ID, etc. even </w:t>
            </w:r>
            <w:proofErr w:type="spellStart"/>
            <w:r w:rsidR="00411411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AppID</w:t>
            </w:r>
            <w:proofErr w:type="spellEnd"/>
          </w:p>
        </w:tc>
      </w:tr>
    </w:tbl>
    <w:p w14:paraId="21175BA1" w14:textId="50003A92" w:rsidR="5986D52C" w:rsidRPr="00B829EF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B829EF" w:rsidRDefault="2CEB8C05" w:rsidP="5986D52C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B829EF" w14:paraId="2C7B0960" w14:textId="77777777" w:rsidTr="25900B44">
        <w:tc>
          <w:tcPr>
            <w:tcW w:w="4680" w:type="dxa"/>
          </w:tcPr>
          <w:p w14:paraId="5235A3B5" w14:textId="428E794D" w:rsidR="5986D52C" w:rsidRPr="00B829EF" w:rsidRDefault="00B15B19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29341E8F" w:rsidR="5986D52C" w:rsidRPr="00B829EF" w:rsidRDefault="00B15B19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00A136A2" w:rsidRPr="00B829EF" w14:paraId="28F08000" w14:textId="77777777" w:rsidTr="25900B44">
        <w:tc>
          <w:tcPr>
            <w:tcW w:w="4680" w:type="dxa"/>
          </w:tcPr>
          <w:p w14:paraId="5786B3E1" w14:textId="14239794" w:rsidR="00A136A2" w:rsidRPr="00265779" w:rsidRDefault="00396918" w:rsidP="00A136A2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 w:rsidRPr="00265779">
              <w:rPr>
                <w:rFonts w:ascii="Arial" w:hAnsi="Arial" w:cs="Arial"/>
                <w:sz w:val="16"/>
                <w:szCs w:val="16"/>
              </w:rPr>
              <w:t>FGM1506</w:t>
            </w:r>
          </w:p>
        </w:tc>
        <w:tc>
          <w:tcPr>
            <w:tcW w:w="4680" w:type="dxa"/>
          </w:tcPr>
          <w:p w14:paraId="0C171B52" w14:textId="6F44DE61" w:rsidR="00A136A2" w:rsidRPr="00265779" w:rsidRDefault="00BE1069" w:rsidP="00A136A2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265779">
              <w:rPr>
                <w:rFonts w:ascii="Arial" w:eastAsia="Arial" w:hAnsi="Arial" w:cs="Arial"/>
                <w:sz w:val="16"/>
                <w:szCs w:val="16"/>
              </w:rPr>
              <w:t xml:space="preserve">Periodic authentication / authorization of NF consumer </w:t>
            </w:r>
            <w:proofErr w:type="gramStart"/>
            <w:r w:rsidRPr="00265779"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 w:rsidRPr="00265779">
              <w:rPr>
                <w:rFonts w:ascii="Arial" w:eastAsia="Arial" w:hAnsi="Arial" w:cs="Arial"/>
                <w:sz w:val="16"/>
                <w:szCs w:val="16"/>
              </w:rPr>
              <w:t xml:space="preserve"> SMF/PCF/CHF/NEF/AF by NRF will help detect rogue NFs.</w:t>
            </w:r>
          </w:p>
        </w:tc>
      </w:tr>
      <w:tr w:rsidR="00195493" w:rsidRPr="00B829EF" w14:paraId="6EB2DC4B" w14:textId="77777777" w:rsidTr="25900B44">
        <w:tc>
          <w:tcPr>
            <w:tcW w:w="4680" w:type="dxa"/>
          </w:tcPr>
          <w:p w14:paraId="2B513B5E" w14:textId="1A41A322" w:rsidR="00195493" w:rsidRPr="00265779" w:rsidRDefault="002E3A63" w:rsidP="00195493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265779">
              <w:rPr>
                <w:rFonts w:ascii="Arial" w:eastAsia="Arial" w:hAnsi="Arial" w:cs="Arial"/>
                <w:sz w:val="16"/>
                <w:szCs w:val="16"/>
              </w:rPr>
              <w:t>FGM50</w:t>
            </w:r>
            <w:r w:rsidR="00337CD7" w:rsidRPr="00265779">
              <w:rPr>
                <w:rFonts w:ascii="Arial" w:eastAsia="Arial" w:hAnsi="Arial" w:cs="Arial"/>
                <w:sz w:val="16"/>
                <w:szCs w:val="16"/>
              </w:rPr>
              <w:t>94</w:t>
            </w:r>
          </w:p>
        </w:tc>
        <w:tc>
          <w:tcPr>
            <w:tcW w:w="4680" w:type="dxa"/>
          </w:tcPr>
          <w:p w14:paraId="665F3CF8" w14:textId="69C553F4" w:rsidR="00195493" w:rsidRPr="00265779" w:rsidRDefault="00396918" w:rsidP="001954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265779">
              <w:rPr>
                <w:rFonts w:ascii="Arial" w:eastAsia="Arial" w:hAnsi="Arial" w:cs="Arial"/>
                <w:sz w:val="16"/>
                <w:szCs w:val="16"/>
              </w:rPr>
              <w:t>Rigorous checks of unique mapping of charging ID to PDU session</w:t>
            </w:r>
            <w:r w:rsidR="008A7E6F" w:rsidRPr="00265779">
              <w:rPr>
                <w:rFonts w:ascii="Arial" w:eastAsia="Arial" w:hAnsi="Arial" w:cs="Arial"/>
                <w:sz w:val="16"/>
                <w:szCs w:val="16"/>
              </w:rPr>
              <w:t xml:space="preserve"> (applicable to the SMF case)</w:t>
            </w:r>
            <w:r w:rsidRPr="00265779"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="00F94B82" w:rsidRPr="00265779">
              <w:rPr>
                <w:rFonts w:ascii="Arial" w:eastAsia="Arial" w:hAnsi="Arial" w:cs="Arial"/>
                <w:sz w:val="16"/>
                <w:szCs w:val="16"/>
              </w:rPr>
              <w:t xml:space="preserve">Management system </w:t>
            </w:r>
            <w:r w:rsidR="00B507EE" w:rsidRPr="00265779">
              <w:rPr>
                <w:rFonts w:ascii="Arial" w:eastAsia="Arial" w:hAnsi="Arial" w:cs="Arial"/>
                <w:sz w:val="16"/>
                <w:szCs w:val="16"/>
              </w:rPr>
              <w:t xml:space="preserve">(OSS/BSS) </w:t>
            </w:r>
            <w:r w:rsidR="00F94B82" w:rsidRPr="00265779">
              <w:rPr>
                <w:rFonts w:ascii="Arial" w:eastAsia="Arial" w:hAnsi="Arial" w:cs="Arial"/>
                <w:sz w:val="16"/>
                <w:szCs w:val="16"/>
              </w:rPr>
              <w:t xml:space="preserve">can </w:t>
            </w:r>
            <w:r w:rsidR="003B41F6" w:rsidRPr="00265779">
              <w:rPr>
                <w:rFonts w:ascii="Arial" w:eastAsia="Arial" w:hAnsi="Arial" w:cs="Arial"/>
                <w:sz w:val="16"/>
                <w:szCs w:val="16"/>
              </w:rPr>
              <w:t xml:space="preserve">generate </w:t>
            </w:r>
            <w:r w:rsidR="00975335" w:rsidRPr="00265779">
              <w:rPr>
                <w:rFonts w:ascii="Arial" w:eastAsia="Arial" w:hAnsi="Arial" w:cs="Arial"/>
                <w:sz w:val="16"/>
                <w:szCs w:val="16"/>
              </w:rPr>
              <w:t xml:space="preserve">alert </w:t>
            </w:r>
            <w:r w:rsidR="003B41F6" w:rsidRPr="00265779">
              <w:rPr>
                <w:rFonts w:ascii="Arial" w:eastAsia="Arial" w:hAnsi="Arial" w:cs="Arial"/>
                <w:sz w:val="16"/>
                <w:szCs w:val="16"/>
              </w:rPr>
              <w:t>for possible intervention</w:t>
            </w:r>
          </w:p>
        </w:tc>
      </w:tr>
    </w:tbl>
    <w:p w14:paraId="4815BE93" w14:textId="70AA70BF" w:rsidR="5986D52C" w:rsidRPr="00B829EF" w:rsidRDefault="5986D52C">
      <w:pPr>
        <w:rPr>
          <w:sz w:val="22"/>
          <w:szCs w:val="22"/>
        </w:rPr>
      </w:pPr>
    </w:p>
    <w:p w14:paraId="1EBD8926" w14:textId="267DDC1D" w:rsidR="00EB6DC6" w:rsidRPr="00B829EF" w:rsidRDefault="00EB6DC6" w:rsidP="00EB6DC6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lastRenderedPageBreak/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B829EF" w14:paraId="6588A2B5" w14:textId="77777777" w:rsidTr="00CD012B">
        <w:tc>
          <w:tcPr>
            <w:tcW w:w="4680" w:type="dxa"/>
          </w:tcPr>
          <w:p w14:paraId="68433717" w14:textId="285DF76B" w:rsidR="00EB6DC6" w:rsidRPr="00B829EF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B829EF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B829EF" w14:paraId="17D5AAAA" w14:textId="77777777" w:rsidTr="00CD012B">
        <w:tc>
          <w:tcPr>
            <w:tcW w:w="4680" w:type="dxa"/>
          </w:tcPr>
          <w:p w14:paraId="45D6E1AE" w14:textId="04AB4C2F" w:rsidR="00EB6DC6" w:rsidRPr="00B829EF" w:rsidRDefault="00EB6DC6" w:rsidP="00CD012B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5F9CA793" w14:textId="52CC5A26" w:rsidR="00EB6DC6" w:rsidRPr="00B829EF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B829EF" w:rsidRDefault="00EB6DC6" w:rsidP="00EB6DC6">
      <w:pPr>
        <w:rPr>
          <w:sz w:val="22"/>
          <w:szCs w:val="22"/>
        </w:rPr>
      </w:pPr>
    </w:p>
    <w:p w14:paraId="5FF8DE7A" w14:textId="16235F97" w:rsidR="001036B2" w:rsidRPr="00B829EF" w:rsidRDefault="001036B2" w:rsidP="001036B2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B829EF" w14:paraId="50BF27D0" w14:textId="77777777" w:rsidTr="3EF815EC">
        <w:tc>
          <w:tcPr>
            <w:tcW w:w="4680" w:type="dxa"/>
          </w:tcPr>
          <w:p w14:paraId="697BDFD6" w14:textId="77777777" w:rsidR="001036B2" w:rsidRPr="00B829EF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B829EF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B829EF" w14:paraId="31ED3BAE" w14:textId="77777777" w:rsidTr="3EF815EC">
        <w:tc>
          <w:tcPr>
            <w:tcW w:w="4680" w:type="dxa"/>
          </w:tcPr>
          <w:p w14:paraId="506728E8" w14:textId="5CCC5376" w:rsidR="001036B2" w:rsidRPr="00265779" w:rsidRDefault="3EF815EC" w:rsidP="00CD012B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 w:rsidRPr="00265779">
              <w:rPr>
                <w:rFonts w:ascii="Arial" w:hAnsi="Arial" w:cs="Arial"/>
                <w:sz w:val="16"/>
                <w:szCs w:val="16"/>
              </w:rPr>
              <w:t>UE call/data records accuracy</w:t>
            </w:r>
          </w:p>
        </w:tc>
        <w:tc>
          <w:tcPr>
            <w:tcW w:w="4680" w:type="dxa"/>
          </w:tcPr>
          <w:p w14:paraId="20993E06" w14:textId="279F70B8" w:rsidR="001036B2" w:rsidRPr="00265779" w:rsidRDefault="00B829EF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265779">
              <w:rPr>
                <w:rFonts w:ascii="Arial" w:eastAsia="Arial" w:hAnsi="Arial" w:cs="Arial"/>
                <w:sz w:val="16"/>
                <w:szCs w:val="16"/>
              </w:rPr>
              <w:t>Communications is denied</w:t>
            </w:r>
          </w:p>
        </w:tc>
      </w:tr>
    </w:tbl>
    <w:p w14:paraId="75175155" w14:textId="77777777" w:rsidR="001036B2" w:rsidRPr="00B829EF" w:rsidRDefault="001036B2" w:rsidP="001036B2">
      <w:pPr>
        <w:rPr>
          <w:sz w:val="22"/>
          <w:szCs w:val="22"/>
        </w:rPr>
      </w:pPr>
    </w:p>
    <w:p w14:paraId="71F1901D" w14:textId="28417371" w:rsidR="00122B07" w:rsidRPr="00B829EF" w:rsidRDefault="00122B07" w:rsidP="00122B07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B829EF" w14:paraId="675DC8F8" w14:textId="77777777" w:rsidTr="00CD012B">
        <w:tc>
          <w:tcPr>
            <w:tcW w:w="4680" w:type="dxa"/>
          </w:tcPr>
          <w:p w14:paraId="5B32A584" w14:textId="032639D0" w:rsidR="00122B07" w:rsidRPr="00B829EF" w:rsidRDefault="00B15B19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0BBFC1D7" w:rsidR="00122B07" w:rsidRPr="00B829EF" w:rsidRDefault="00B15B19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B829EF" w:rsidRPr="00B829EF" w14:paraId="0375BB01" w14:textId="77777777" w:rsidTr="00CD012B">
        <w:tc>
          <w:tcPr>
            <w:tcW w:w="4680" w:type="dxa"/>
          </w:tcPr>
          <w:p w14:paraId="13F3B693" w14:textId="06B830CB" w:rsidR="00B829EF" w:rsidRPr="00B829EF" w:rsidRDefault="00B961F9" w:rsidP="00B829EF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</w:t>
            </w:r>
            <w:r w:rsidR="00D773D6">
              <w:rPr>
                <w:rFonts w:ascii="Arial" w:eastAsia="Arial" w:hAnsi="Arial" w:cs="Arial"/>
                <w:sz w:val="16"/>
                <w:szCs w:val="16"/>
              </w:rPr>
              <w:t>D</w:t>
            </w:r>
            <w:r w:rsidR="00B828A0"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5003</w:t>
            </w:r>
          </w:p>
        </w:tc>
        <w:tc>
          <w:tcPr>
            <w:tcW w:w="4680" w:type="dxa"/>
          </w:tcPr>
          <w:p w14:paraId="07AFEF23" w14:textId="2439D924" w:rsidR="00B829EF" w:rsidRPr="00B829EF" w:rsidRDefault="00F61D17" w:rsidP="00B829E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A43AB0">
              <w:rPr>
                <w:rFonts w:ascii="Arial" w:eastAsia="Arial" w:hAnsi="Arial" w:cs="Arial"/>
                <w:sz w:val="16"/>
                <w:szCs w:val="16"/>
              </w:rPr>
              <w:t>Management system (OSS/BSS) checks uniqueness of charging ID for all new PDU sessions in non-roaming scenario and existing PDU sessions in handover and roaming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scenario</w:t>
            </w:r>
          </w:p>
        </w:tc>
      </w:tr>
    </w:tbl>
    <w:p w14:paraId="5B93BEEC" w14:textId="12FAEB4D" w:rsidR="00595F29" w:rsidRPr="00B829EF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B829EF" w:rsidRDefault="00050DAF" w:rsidP="00050DAF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B829EF" w14:paraId="0C045D97" w14:textId="77777777" w:rsidTr="00CD012B">
        <w:tc>
          <w:tcPr>
            <w:tcW w:w="4680" w:type="dxa"/>
          </w:tcPr>
          <w:p w14:paraId="236E1F9B" w14:textId="77777777" w:rsidR="00050DAF" w:rsidRPr="00B829EF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B829EF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B829EF" w14:paraId="0FC032A8" w14:textId="77777777" w:rsidTr="00CD012B">
        <w:tc>
          <w:tcPr>
            <w:tcW w:w="4680" w:type="dxa"/>
          </w:tcPr>
          <w:p w14:paraId="1E872D12" w14:textId="19CDE69C" w:rsidR="00050DAF" w:rsidRPr="00B829EF" w:rsidRDefault="00050DAF" w:rsidP="00CD012B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42D8BC64" w14:textId="5AF23AFD" w:rsidR="00050DAF" w:rsidRPr="00B829EF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B829EF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27A7D57C" w14:textId="10E5DFC3" w:rsidR="0071530B" w:rsidRDefault="0071530B" w:rsidP="3EDC4A28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References</w:t>
      </w:r>
      <w:r w:rsidR="0030258D" w:rsidRPr="00B829EF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A16C08" w:rsidRPr="00A16C08" w14:paraId="36F3F9A4" w14:textId="77777777" w:rsidTr="00D45F6E">
        <w:tc>
          <w:tcPr>
            <w:tcW w:w="4765" w:type="dxa"/>
          </w:tcPr>
          <w:p w14:paraId="30A32B60" w14:textId="77777777" w:rsidR="00A16C08" w:rsidRPr="00D45F6E" w:rsidRDefault="00A16C08" w:rsidP="00A16C0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5F6E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585" w:type="dxa"/>
          </w:tcPr>
          <w:p w14:paraId="7EC3C1EF" w14:textId="77777777" w:rsidR="00A16C08" w:rsidRPr="00D45F6E" w:rsidRDefault="00A16C08" w:rsidP="00A16C0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5F6E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A16C08" w:rsidRPr="00A16C08" w14:paraId="0F0AD4B0" w14:textId="77777777" w:rsidTr="00D45F6E">
        <w:tc>
          <w:tcPr>
            <w:tcW w:w="4765" w:type="dxa"/>
          </w:tcPr>
          <w:p w14:paraId="18997A04" w14:textId="4507C39A" w:rsidR="00A16C08" w:rsidRPr="00265779" w:rsidRDefault="00A16C08" w:rsidP="00A16C08">
            <w:pPr>
              <w:rPr>
                <w:rFonts w:ascii="Arial" w:hAnsi="Arial" w:cs="Arial"/>
                <w:sz w:val="16"/>
                <w:szCs w:val="16"/>
              </w:rPr>
            </w:pPr>
            <w:r w:rsidRPr="00265779">
              <w:rPr>
                <w:rFonts w:ascii="Arial" w:hAnsi="Arial" w:cs="Arial"/>
                <w:sz w:val="16"/>
                <w:szCs w:val="16"/>
              </w:rPr>
              <w:t>3rd Generation Partnership Project (3GPP) TR 33.926: “Security Assurance Specification (SCAS) threats and critical assets in 3GPP network product classes”, Technical Report, v17.3.0, December. 2021</w:t>
            </w:r>
          </w:p>
        </w:tc>
        <w:tc>
          <w:tcPr>
            <w:tcW w:w="4585" w:type="dxa"/>
          </w:tcPr>
          <w:p w14:paraId="52EAA6B8" w14:textId="5A5127E7" w:rsidR="00A16C08" w:rsidRPr="00265779" w:rsidRDefault="00A16C08" w:rsidP="00A16C08">
            <w:pPr>
              <w:rPr>
                <w:rFonts w:ascii="Arial" w:hAnsi="Arial" w:cs="Arial"/>
                <w:sz w:val="16"/>
                <w:szCs w:val="16"/>
              </w:rPr>
            </w:pPr>
            <w:r w:rsidRPr="00265779">
              <w:rPr>
                <w:rFonts w:ascii="Arial" w:hAnsi="Arial" w:cs="Arial"/>
                <w:color w:val="0563C1" w:themeColor="hyperlink"/>
                <w:sz w:val="16"/>
                <w:szCs w:val="16"/>
                <w:u w:val="single"/>
              </w:rPr>
              <w:t>https://www.3gpp.org/DynaReport/33926.htm</w:t>
            </w:r>
            <w:r w:rsidRPr="0026577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A16C08" w:rsidRPr="00A16C08" w14:paraId="2198E8EF" w14:textId="77777777" w:rsidTr="00D45F6E">
        <w:tc>
          <w:tcPr>
            <w:tcW w:w="4765" w:type="dxa"/>
          </w:tcPr>
          <w:p w14:paraId="4A970D9C" w14:textId="77777777" w:rsidR="00A16C08" w:rsidRPr="00265779" w:rsidRDefault="00A16C08" w:rsidP="00A16C08">
            <w:pPr>
              <w:rPr>
                <w:rFonts w:ascii="Arial" w:hAnsi="Arial" w:cs="Arial"/>
                <w:sz w:val="16"/>
                <w:szCs w:val="16"/>
              </w:rPr>
            </w:pPr>
            <w:r w:rsidRPr="00265779">
              <w:rPr>
                <w:rFonts w:ascii="Arial" w:hAnsi="Arial" w:cs="Arial"/>
                <w:sz w:val="16"/>
                <w:szCs w:val="16"/>
              </w:rPr>
              <w:t>European Union Agency for Cybersecurity (ENISA): “ENISA Threat Landscape for 5G Networks” Report, December 2020.</w:t>
            </w:r>
          </w:p>
        </w:tc>
        <w:tc>
          <w:tcPr>
            <w:tcW w:w="4585" w:type="dxa"/>
          </w:tcPr>
          <w:p w14:paraId="1FF1FD8E" w14:textId="758327E7" w:rsidR="00A16C08" w:rsidRPr="00265779" w:rsidRDefault="00A16C08" w:rsidP="00A16C08">
            <w:pPr>
              <w:rPr>
                <w:rFonts w:ascii="Arial" w:hAnsi="Arial" w:cs="Arial"/>
                <w:sz w:val="16"/>
                <w:szCs w:val="16"/>
              </w:rPr>
            </w:pPr>
            <w:r w:rsidRPr="00265779">
              <w:rPr>
                <w:rFonts w:ascii="Arial" w:hAnsi="Arial" w:cs="Arial"/>
                <w:color w:val="0563C1" w:themeColor="hyperlink"/>
                <w:sz w:val="16"/>
                <w:szCs w:val="16"/>
                <w:u w:val="single"/>
              </w:rPr>
              <w:t>https://www.enisa.europa.eu/publications/enisa-threat-landscape-report-for-5g-networks</w:t>
            </w:r>
            <w:r w:rsidRPr="0026577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</w:tbl>
    <w:p w14:paraId="061A3457" w14:textId="77777777" w:rsidR="009C2879" w:rsidRDefault="009C2879" w:rsidP="3EDC4A28">
      <w:pPr>
        <w:rPr>
          <w:rFonts w:ascii="Arial" w:eastAsia="Arial" w:hAnsi="Arial" w:cs="Arial"/>
        </w:rPr>
      </w:pPr>
    </w:p>
    <w:p w14:paraId="717E1C7C" w14:textId="0E17B411" w:rsidR="00BD0450" w:rsidRDefault="00BD0450" w:rsidP="3EDC4A28">
      <w:pPr>
        <w:rPr>
          <w:rFonts w:ascii="Arial" w:eastAsia="Arial" w:hAnsi="Arial" w:cs="Arial"/>
        </w:rPr>
      </w:pPr>
    </w:p>
    <w:p w14:paraId="2FB03CFA" w14:textId="77777777" w:rsidR="00F61D17" w:rsidRDefault="00F61D17" w:rsidP="3EDC4A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#doNotParse</w:t>
      </w:r>
    </w:p>
    <w:p w14:paraId="3E639CC2" w14:textId="001E9113" w:rsidR="00BD0450" w:rsidRDefault="00BD0450" w:rsidP="3EDC4A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Background info</w:t>
      </w:r>
    </w:p>
    <w:p w14:paraId="1A24B9FF" w14:textId="26015F84" w:rsidR="009C2879" w:rsidRDefault="009C2879" w:rsidP="3EDC4A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</w:t>
      </w:r>
      <w:proofErr w:type="gramStart"/>
      <w:r>
        <w:rPr>
          <w:rFonts w:ascii="Arial" w:eastAsia="Arial" w:hAnsi="Arial" w:cs="Arial"/>
        </w:rPr>
        <w:t>another</w:t>
      </w:r>
      <w:proofErr w:type="gramEnd"/>
      <w:r>
        <w:rPr>
          <w:rFonts w:ascii="Arial" w:eastAsia="Arial" w:hAnsi="Arial" w:cs="Arial"/>
        </w:rPr>
        <w:t xml:space="preserve"> reference, not public, is “</w:t>
      </w:r>
      <w:r w:rsidRPr="009C2879">
        <w:rPr>
          <w:rFonts w:ascii="Arial" w:eastAsia="Arial" w:hAnsi="Arial" w:cs="Arial"/>
        </w:rPr>
        <w:t>Attacks by NF, M. Vanderveen, Nov. 2021</w:t>
      </w:r>
      <w:r>
        <w:rPr>
          <w:rFonts w:ascii="Arial" w:eastAsia="Arial" w:hAnsi="Arial" w:cs="Arial"/>
        </w:rPr>
        <w:t>)</w:t>
      </w:r>
    </w:p>
    <w:p w14:paraId="16985BC1" w14:textId="77777777" w:rsidR="009C2879" w:rsidRDefault="009C2879" w:rsidP="00BD0450">
      <w:pPr>
        <w:rPr>
          <w:rFonts w:ascii="Arial" w:eastAsia="Arial" w:hAnsi="Arial" w:cs="Arial"/>
          <w:sz w:val="22"/>
          <w:szCs w:val="22"/>
        </w:rPr>
      </w:pPr>
    </w:p>
    <w:p w14:paraId="02E49E69" w14:textId="27843956" w:rsidR="00BD0450" w:rsidRPr="006A2A2A" w:rsidRDefault="00BD0450" w:rsidP="00BD0450">
      <w:pPr>
        <w:rPr>
          <w:rFonts w:ascii="Arial" w:eastAsia="Arial" w:hAnsi="Arial" w:cs="Arial"/>
          <w:sz w:val="22"/>
          <w:szCs w:val="22"/>
        </w:rPr>
      </w:pPr>
      <w:proofErr w:type="spellStart"/>
      <w:r w:rsidRPr="006A2A2A">
        <w:rPr>
          <w:rFonts w:ascii="Arial" w:eastAsia="Arial" w:hAnsi="Arial" w:cs="Arial"/>
          <w:sz w:val="22"/>
          <w:szCs w:val="22"/>
        </w:rPr>
        <w:t>IPlook</w:t>
      </w:r>
      <w:proofErr w:type="spellEnd"/>
      <w:r w:rsidRPr="006A2A2A">
        <w:rPr>
          <w:rFonts w:ascii="Arial" w:eastAsia="Arial" w:hAnsi="Arial" w:cs="Arial"/>
          <w:sz w:val="22"/>
          <w:szCs w:val="22"/>
        </w:rPr>
        <w:t xml:space="preserve"> has good diagram that can be basis of further reading:</w:t>
      </w:r>
    </w:p>
    <w:p w14:paraId="179DC9DC" w14:textId="77777777" w:rsidR="00BD0450" w:rsidRPr="006A2A2A" w:rsidRDefault="00BD0450" w:rsidP="00BD0450">
      <w:pPr>
        <w:rPr>
          <w:rFonts w:ascii="Arial" w:eastAsia="Arial" w:hAnsi="Arial" w:cs="Arial"/>
          <w:sz w:val="22"/>
          <w:szCs w:val="22"/>
        </w:rPr>
      </w:pPr>
      <w:r w:rsidRPr="006A2A2A">
        <w:rPr>
          <w:rFonts w:ascii="Arial" w:eastAsia="Arial" w:hAnsi="Arial" w:cs="Arial"/>
          <w:sz w:val="22"/>
          <w:szCs w:val="22"/>
        </w:rPr>
        <w:t xml:space="preserve"> </w:t>
      </w:r>
    </w:p>
    <w:p w14:paraId="1B55BABE" w14:textId="2E39697B" w:rsidR="00BD0450" w:rsidRPr="006A2A2A" w:rsidRDefault="00000000" w:rsidP="00BD0450">
      <w:pPr>
        <w:rPr>
          <w:rFonts w:ascii="Arial" w:eastAsia="Arial" w:hAnsi="Arial" w:cs="Arial"/>
          <w:sz w:val="22"/>
          <w:szCs w:val="22"/>
        </w:rPr>
      </w:pPr>
      <w:hyperlink r:id="rId10" w:history="1">
        <w:r w:rsidR="00BD0450" w:rsidRPr="006A2A2A">
          <w:rPr>
            <w:rStyle w:val="Hyperlink"/>
            <w:rFonts w:ascii="Arial" w:eastAsia="Arial" w:hAnsi="Arial" w:cs="Arial"/>
            <w:sz w:val="22"/>
            <w:szCs w:val="22"/>
          </w:rPr>
          <w:t>https://www.iplook.com/products/charging-function</w:t>
        </w:r>
      </w:hyperlink>
      <w:r w:rsidR="00BD0450" w:rsidRPr="006A2A2A">
        <w:rPr>
          <w:rFonts w:ascii="Arial" w:eastAsia="Arial" w:hAnsi="Arial" w:cs="Arial"/>
          <w:sz w:val="22"/>
          <w:szCs w:val="22"/>
        </w:rPr>
        <w:t xml:space="preserve"> </w:t>
      </w:r>
    </w:p>
    <w:p w14:paraId="42E9CFE2" w14:textId="77777777" w:rsidR="00BD0450" w:rsidRPr="006A2A2A" w:rsidRDefault="00BD0450" w:rsidP="00BD0450">
      <w:pPr>
        <w:rPr>
          <w:rFonts w:ascii="Arial" w:eastAsia="Arial" w:hAnsi="Arial" w:cs="Arial"/>
          <w:sz w:val="22"/>
          <w:szCs w:val="22"/>
        </w:rPr>
      </w:pPr>
      <w:r w:rsidRPr="006A2A2A">
        <w:rPr>
          <w:rFonts w:ascii="Arial" w:eastAsia="Arial" w:hAnsi="Arial" w:cs="Arial"/>
          <w:sz w:val="22"/>
          <w:szCs w:val="22"/>
        </w:rPr>
        <w:t xml:space="preserve"> </w:t>
      </w:r>
    </w:p>
    <w:p w14:paraId="1ED8E82C" w14:textId="77777777" w:rsidR="00BD0450" w:rsidRPr="006A2A2A" w:rsidRDefault="00BD0450" w:rsidP="00BD0450">
      <w:pPr>
        <w:rPr>
          <w:rFonts w:ascii="Arial" w:eastAsia="Arial" w:hAnsi="Arial" w:cs="Arial"/>
          <w:sz w:val="22"/>
          <w:szCs w:val="22"/>
        </w:rPr>
      </w:pPr>
      <w:r w:rsidRPr="006A2A2A">
        <w:rPr>
          <w:rFonts w:ascii="Arial" w:eastAsia="Arial" w:hAnsi="Arial" w:cs="Arial"/>
          <w:sz w:val="22"/>
          <w:szCs w:val="22"/>
        </w:rPr>
        <w:t xml:space="preserve">AGF receives SMF </w:t>
      </w:r>
      <w:proofErr w:type="spellStart"/>
      <w:r w:rsidRPr="006A2A2A">
        <w:rPr>
          <w:rFonts w:ascii="Arial" w:eastAsia="Arial" w:hAnsi="Arial" w:cs="Arial"/>
          <w:sz w:val="22"/>
          <w:szCs w:val="22"/>
        </w:rPr>
        <w:t>Nchf</w:t>
      </w:r>
      <w:proofErr w:type="spellEnd"/>
      <w:r w:rsidRPr="006A2A2A">
        <w:rPr>
          <w:rFonts w:ascii="Arial" w:eastAsia="Arial" w:hAnsi="Arial" w:cs="Arial"/>
          <w:sz w:val="22"/>
          <w:szCs w:val="22"/>
        </w:rPr>
        <w:t xml:space="preserve"> interface messages sent from SMF side, and carries out routing and forwarding of </w:t>
      </w:r>
      <w:proofErr w:type="gramStart"/>
      <w:r w:rsidRPr="006A2A2A">
        <w:rPr>
          <w:rFonts w:ascii="Arial" w:eastAsia="Arial" w:hAnsi="Arial" w:cs="Arial"/>
          <w:sz w:val="22"/>
          <w:szCs w:val="22"/>
        </w:rPr>
        <w:t>messages..</w:t>
      </w:r>
      <w:proofErr w:type="gramEnd"/>
    </w:p>
    <w:p w14:paraId="024F9603" w14:textId="77777777" w:rsidR="00BD0450" w:rsidRPr="006A2A2A" w:rsidRDefault="00BD0450" w:rsidP="00BD0450">
      <w:pPr>
        <w:rPr>
          <w:rFonts w:ascii="Arial" w:eastAsia="Arial" w:hAnsi="Arial" w:cs="Arial"/>
          <w:sz w:val="22"/>
          <w:szCs w:val="22"/>
        </w:rPr>
      </w:pPr>
      <w:r w:rsidRPr="006A2A2A">
        <w:rPr>
          <w:rFonts w:ascii="Arial" w:eastAsia="Arial" w:hAnsi="Arial" w:cs="Arial"/>
          <w:sz w:val="22"/>
          <w:szCs w:val="22"/>
        </w:rPr>
        <w:t>CDF collects billing messages, generates corresponding CDRs and sends them to CGF, which processes the CDRs and generates bill files for BOSS to collect through the file interface; meanwhile, CHF supports forwarding the billing request messages sent by SMF to BOSS and forwards BOSS responses to SMF.</w:t>
      </w:r>
    </w:p>
    <w:p w14:paraId="423AA324" w14:textId="681AB73F" w:rsidR="00BD0450" w:rsidRPr="00BD0450" w:rsidRDefault="00BD0450" w:rsidP="00BD0450">
      <w:pPr>
        <w:rPr>
          <w:rFonts w:ascii="Arial" w:eastAsia="Arial" w:hAnsi="Arial" w:cs="Arial"/>
        </w:rPr>
      </w:pPr>
      <w:r w:rsidRPr="00BD0450">
        <w:rPr>
          <w:rFonts w:ascii="Arial" w:eastAsia="Arial" w:hAnsi="Arial" w:cs="Arial"/>
        </w:rPr>
        <w:lastRenderedPageBreak/>
        <w:t xml:space="preserve"> </w:t>
      </w:r>
      <w:r w:rsidR="006A2A2A">
        <w:rPr>
          <w:noProof/>
          <w:color w:val="000000"/>
        </w:rPr>
        <w:drawing>
          <wp:inline distT="0" distB="0" distL="0" distR="0" wp14:anchorId="09C88553" wp14:editId="255C7C56">
            <wp:extent cx="3779520" cy="1935480"/>
            <wp:effectExtent l="0" t="0" r="11430" b="7620"/>
            <wp:docPr id="2" name="Picture 2" descr="5GC CH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GC CHF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1F8B0" w14:textId="77777777" w:rsidR="00BD0450" w:rsidRDefault="00BD0450" w:rsidP="3EDC4A28">
      <w:pPr>
        <w:rPr>
          <w:rFonts w:ascii="Arial" w:eastAsia="Arial" w:hAnsi="Arial" w:cs="Arial"/>
        </w:rPr>
      </w:pPr>
    </w:p>
    <w:sectPr w:rsidR="00BD0450" w:rsidSect="00020259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76EEA" w14:textId="77777777" w:rsidR="00560A60" w:rsidRDefault="00560A60" w:rsidP="00684328">
      <w:r>
        <w:separator/>
      </w:r>
    </w:p>
  </w:endnote>
  <w:endnote w:type="continuationSeparator" w:id="0">
    <w:p w14:paraId="708C5747" w14:textId="77777777" w:rsidR="00560A60" w:rsidRDefault="00560A60" w:rsidP="00684328">
      <w:r>
        <w:continuationSeparator/>
      </w:r>
    </w:p>
  </w:endnote>
  <w:endnote w:type="continuationNotice" w:id="1">
    <w:p w14:paraId="553C09C8" w14:textId="77777777" w:rsidR="00560A60" w:rsidRDefault="00560A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27867" w14:textId="77777777" w:rsidR="00560A60" w:rsidRDefault="00560A60" w:rsidP="00684328">
      <w:r>
        <w:separator/>
      </w:r>
    </w:p>
  </w:footnote>
  <w:footnote w:type="continuationSeparator" w:id="0">
    <w:p w14:paraId="5929ACA4" w14:textId="77777777" w:rsidR="00560A60" w:rsidRDefault="00560A60" w:rsidP="00684328">
      <w:r>
        <w:continuationSeparator/>
      </w:r>
    </w:p>
  </w:footnote>
  <w:footnote w:type="continuationNotice" w:id="1">
    <w:p w14:paraId="22ED3923" w14:textId="77777777" w:rsidR="00560A60" w:rsidRDefault="00560A6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C029B"/>
    <w:multiLevelType w:val="hybridMultilevel"/>
    <w:tmpl w:val="CA1AC9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766075">
    <w:abstractNumId w:val="2"/>
  </w:num>
  <w:num w:numId="2" w16cid:durableId="971328722">
    <w:abstractNumId w:val="1"/>
  </w:num>
  <w:num w:numId="3" w16cid:durableId="2123571459">
    <w:abstractNumId w:val="3"/>
  </w:num>
  <w:num w:numId="4" w16cid:durableId="1559245117">
    <w:abstractNumId w:val="4"/>
  </w:num>
  <w:num w:numId="5" w16cid:durableId="1532300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0C4A"/>
    <w:rsid w:val="00007AD0"/>
    <w:rsid w:val="00012812"/>
    <w:rsid w:val="000160C5"/>
    <w:rsid w:val="00020259"/>
    <w:rsid w:val="000227C6"/>
    <w:rsid w:val="0003460D"/>
    <w:rsid w:val="00036760"/>
    <w:rsid w:val="00047624"/>
    <w:rsid w:val="00050DAF"/>
    <w:rsid w:val="00075905"/>
    <w:rsid w:val="00076C13"/>
    <w:rsid w:val="000820C2"/>
    <w:rsid w:val="00094EF1"/>
    <w:rsid w:val="00095BA5"/>
    <w:rsid w:val="00095CF1"/>
    <w:rsid w:val="000B4E96"/>
    <w:rsid w:val="000E5B3B"/>
    <w:rsid w:val="000E5FF4"/>
    <w:rsid w:val="000F3FE0"/>
    <w:rsid w:val="00102859"/>
    <w:rsid w:val="001036B2"/>
    <w:rsid w:val="001059B9"/>
    <w:rsid w:val="00116316"/>
    <w:rsid w:val="00122B07"/>
    <w:rsid w:val="001256A3"/>
    <w:rsid w:val="00134AB6"/>
    <w:rsid w:val="00134B15"/>
    <w:rsid w:val="00135251"/>
    <w:rsid w:val="00146E94"/>
    <w:rsid w:val="0017483E"/>
    <w:rsid w:val="00174994"/>
    <w:rsid w:val="00180F87"/>
    <w:rsid w:val="001816F0"/>
    <w:rsid w:val="00187727"/>
    <w:rsid w:val="0019370B"/>
    <w:rsid w:val="00195493"/>
    <w:rsid w:val="001A5A73"/>
    <w:rsid w:val="002017E5"/>
    <w:rsid w:val="00201A38"/>
    <w:rsid w:val="00212AAF"/>
    <w:rsid w:val="00213376"/>
    <w:rsid w:val="0021640F"/>
    <w:rsid w:val="0022518E"/>
    <w:rsid w:val="002304E9"/>
    <w:rsid w:val="002328B7"/>
    <w:rsid w:val="0024470B"/>
    <w:rsid w:val="002451CB"/>
    <w:rsid w:val="00247CE7"/>
    <w:rsid w:val="00265779"/>
    <w:rsid w:val="00275330"/>
    <w:rsid w:val="00294524"/>
    <w:rsid w:val="002B03B3"/>
    <w:rsid w:val="002B0434"/>
    <w:rsid w:val="002C3F37"/>
    <w:rsid w:val="002C4089"/>
    <w:rsid w:val="002E3A63"/>
    <w:rsid w:val="002F3081"/>
    <w:rsid w:val="0030258D"/>
    <w:rsid w:val="00327390"/>
    <w:rsid w:val="00337CD7"/>
    <w:rsid w:val="00396918"/>
    <w:rsid w:val="003B41F6"/>
    <w:rsid w:val="003C184C"/>
    <w:rsid w:val="003C1A3A"/>
    <w:rsid w:val="003D6861"/>
    <w:rsid w:val="003E5D1F"/>
    <w:rsid w:val="00402818"/>
    <w:rsid w:val="00402DA4"/>
    <w:rsid w:val="00411411"/>
    <w:rsid w:val="0041532B"/>
    <w:rsid w:val="00420F49"/>
    <w:rsid w:val="004226DF"/>
    <w:rsid w:val="00424F66"/>
    <w:rsid w:val="004279B4"/>
    <w:rsid w:val="004504C0"/>
    <w:rsid w:val="004731D5"/>
    <w:rsid w:val="00483DE2"/>
    <w:rsid w:val="00495FD7"/>
    <w:rsid w:val="004A3076"/>
    <w:rsid w:val="004A76DF"/>
    <w:rsid w:val="004C4CBD"/>
    <w:rsid w:val="004C71F3"/>
    <w:rsid w:val="004D0503"/>
    <w:rsid w:val="004E5BA2"/>
    <w:rsid w:val="004E68DA"/>
    <w:rsid w:val="004F3A7E"/>
    <w:rsid w:val="005044B9"/>
    <w:rsid w:val="005071A3"/>
    <w:rsid w:val="00521C31"/>
    <w:rsid w:val="00523F9D"/>
    <w:rsid w:val="00532045"/>
    <w:rsid w:val="00534FB0"/>
    <w:rsid w:val="005561EE"/>
    <w:rsid w:val="00560A60"/>
    <w:rsid w:val="00563136"/>
    <w:rsid w:val="0056722D"/>
    <w:rsid w:val="00595F29"/>
    <w:rsid w:val="005974AC"/>
    <w:rsid w:val="005B7BAF"/>
    <w:rsid w:val="005C20B9"/>
    <w:rsid w:val="005D0540"/>
    <w:rsid w:val="00606A94"/>
    <w:rsid w:val="0061115D"/>
    <w:rsid w:val="00613214"/>
    <w:rsid w:val="006276C3"/>
    <w:rsid w:val="0064279D"/>
    <w:rsid w:val="00642EA0"/>
    <w:rsid w:val="006437E0"/>
    <w:rsid w:val="006514EE"/>
    <w:rsid w:val="00651E89"/>
    <w:rsid w:val="00655C5B"/>
    <w:rsid w:val="006833A5"/>
    <w:rsid w:val="00683CA7"/>
    <w:rsid w:val="00684328"/>
    <w:rsid w:val="006A2A2A"/>
    <w:rsid w:val="006C3194"/>
    <w:rsid w:val="006D7732"/>
    <w:rsid w:val="006E4363"/>
    <w:rsid w:val="006F4FA3"/>
    <w:rsid w:val="006F6F54"/>
    <w:rsid w:val="007001DA"/>
    <w:rsid w:val="007001EE"/>
    <w:rsid w:val="00704E7D"/>
    <w:rsid w:val="00705DC2"/>
    <w:rsid w:val="0071530B"/>
    <w:rsid w:val="00716B8F"/>
    <w:rsid w:val="0073644D"/>
    <w:rsid w:val="007509D9"/>
    <w:rsid w:val="00781CF2"/>
    <w:rsid w:val="007913C9"/>
    <w:rsid w:val="007B5448"/>
    <w:rsid w:val="007B6C25"/>
    <w:rsid w:val="007C087F"/>
    <w:rsid w:val="007C6E0D"/>
    <w:rsid w:val="007C7EA6"/>
    <w:rsid w:val="007D610B"/>
    <w:rsid w:val="007D67C5"/>
    <w:rsid w:val="007E4551"/>
    <w:rsid w:val="00800210"/>
    <w:rsid w:val="00805F4A"/>
    <w:rsid w:val="0082392D"/>
    <w:rsid w:val="008604CF"/>
    <w:rsid w:val="00882C42"/>
    <w:rsid w:val="008A7E6F"/>
    <w:rsid w:val="008B0FEA"/>
    <w:rsid w:val="008B5F90"/>
    <w:rsid w:val="008C4345"/>
    <w:rsid w:val="008C47D0"/>
    <w:rsid w:val="008C55A6"/>
    <w:rsid w:val="008D4473"/>
    <w:rsid w:val="008E057B"/>
    <w:rsid w:val="008E2CA2"/>
    <w:rsid w:val="008E361D"/>
    <w:rsid w:val="00901A3F"/>
    <w:rsid w:val="00906325"/>
    <w:rsid w:val="00915021"/>
    <w:rsid w:val="00921892"/>
    <w:rsid w:val="00922A49"/>
    <w:rsid w:val="00926A04"/>
    <w:rsid w:val="00935BFC"/>
    <w:rsid w:val="00943D98"/>
    <w:rsid w:val="00950455"/>
    <w:rsid w:val="00950B69"/>
    <w:rsid w:val="009708BC"/>
    <w:rsid w:val="00975335"/>
    <w:rsid w:val="009833CC"/>
    <w:rsid w:val="009A351F"/>
    <w:rsid w:val="009A5F65"/>
    <w:rsid w:val="009A647D"/>
    <w:rsid w:val="009B03B3"/>
    <w:rsid w:val="009C2879"/>
    <w:rsid w:val="009C2D05"/>
    <w:rsid w:val="009E0101"/>
    <w:rsid w:val="009E420B"/>
    <w:rsid w:val="009F4A04"/>
    <w:rsid w:val="00A02679"/>
    <w:rsid w:val="00A136A2"/>
    <w:rsid w:val="00A151F0"/>
    <w:rsid w:val="00A16C08"/>
    <w:rsid w:val="00A3108D"/>
    <w:rsid w:val="00A33C65"/>
    <w:rsid w:val="00A43AB0"/>
    <w:rsid w:val="00A61C28"/>
    <w:rsid w:val="00A6505C"/>
    <w:rsid w:val="00A94926"/>
    <w:rsid w:val="00A94D62"/>
    <w:rsid w:val="00AA1332"/>
    <w:rsid w:val="00AA591D"/>
    <w:rsid w:val="00AB004E"/>
    <w:rsid w:val="00AB1085"/>
    <w:rsid w:val="00AB17C9"/>
    <w:rsid w:val="00AB5E23"/>
    <w:rsid w:val="00AC7370"/>
    <w:rsid w:val="00AD5D59"/>
    <w:rsid w:val="00AE253E"/>
    <w:rsid w:val="00AF06DC"/>
    <w:rsid w:val="00AF4CC6"/>
    <w:rsid w:val="00B02C92"/>
    <w:rsid w:val="00B12799"/>
    <w:rsid w:val="00B15B19"/>
    <w:rsid w:val="00B204B6"/>
    <w:rsid w:val="00B27461"/>
    <w:rsid w:val="00B45D0F"/>
    <w:rsid w:val="00B465F6"/>
    <w:rsid w:val="00B507EE"/>
    <w:rsid w:val="00B64733"/>
    <w:rsid w:val="00B828A0"/>
    <w:rsid w:val="00B829EF"/>
    <w:rsid w:val="00B87055"/>
    <w:rsid w:val="00B92366"/>
    <w:rsid w:val="00B94A94"/>
    <w:rsid w:val="00B961F9"/>
    <w:rsid w:val="00BA2D65"/>
    <w:rsid w:val="00BB0650"/>
    <w:rsid w:val="00BB113C"/>
    <w:rsid w:val="00BB5596"/>
    <w:rsid w:val="00BD0450"/>
    <w:rsid w:val="00BE1069"/>
    <w:rsid w:val="00BE56AB"/>
    <w:rsid w:val="00BE61CA"/>
    <w:rsid w:val="00C22712"/>
    <w:rsid w:val="00C605AB"/>
    <w:rsid w:val="00C87127"/>
    <w:rsid w:val="00C91308"/>
    <w:rsid w:val="00CA03B2"/>
    <w:rsid w:val="00CA5290"/>
    <w:rsid w:val="00CB73D0"/>
    <w:rsid w:val="00CC217C"/>
    <w:rsid w:val="00CE05A6"/>
    <w:rsid w:val="00D21B0A"/>
    <w:rsid w:val="00D2209F"/>
    <w:rsid w:val="00D24AD7"/>
    <w:rsid w:val="00D45F6E"/>
    <w:rsid w:val="00D64DEB"/>
    <w:rsid w:val="00D65606"/>
    <w:rsid w:val="00D7138A"/>
    <w:rsid w:val="00D773D6"/>
    <w:rsid w:val="00D977F8"/>
    <w:rsid w:val="00DA1E92"/>
    <w:rsid w:val="00DD0F97"/>
    <w:rsid w:val="00DF00DF"/>
    <w:rsid w:val="00DF4BA8"/>
    <w:rsid w:val="00DF5A41"/>
    <w:rsid w:val="00E1076A"/>
    <w:rsid w:val="00E23C96"/>
    <w:rsid w:val="00E24472"/>
    <w:rsid w:val="00E33E61"/>
    <w:rsid w:val="00E347B1"/>
    <w:rsid w:val="00E3517F"/>
    <w:rsid w:val="00E410E7"/>
    <w:rsid w:val="00E46C36"/>
    <w:rsid w:val="00E76427"/>
    <w:rsid w:val="00E8124D"/>
    <w:rsid w:val="00E84E10"/>
    <w:rsid w:val="00E858AD"/>
    <w:rsid w:val="00E85D5F"/>
    <w:rsid w:val="00E87705"/>
    <w:rsid w:val="00EB3406"/>
    <w:rsid w:val="00EB39ED"/>
    <w:rsid w:val="00EB45B4"/>
    <w:rsid w:val="00EB6DC6"/>
    <w:rsid w:val="00EC20A3"/>
    <w:rsid w:val="00EE476F"/>
    <w:rsid w:val="00F07794"/>
    <w:rsid w:val="00F149D8"/>
    <w:rsid w:val="00F1771F"/>
    <w:rsid w:val="00F17E10"/>
    <w:rsid w:val="00F44117"/>
    <w:rsid w:val="00F61D17"/>
    <w:rsid w:val="00F67716"/>
    <w:rsid w:val="00F67BD1"/>
    <w:rsid w:val="00F75C35"/>
    <w:rsid w:val="00F8001E"/>
    <w:rsid w:val="00F925BA"/>
    <w:rsid w:val="00F94B82"/>
    <w:rsid w:val="00F9748C"/>
    <w:rsid w:val="00FA28C1"/>
    <w:rsid w:val="00FC061C"/>
    <w:rsid w:val="00FD0D84"/>
    <w:rsid w:val="00FF4ECF"/>
    <w:rsid w:val="021C66DA"/>
    <w:rsid w:val="0272C9E8"/>
    <w:rsid w:val="07561C29"/>
    <w:rsid w:val="097BA554"/>
    <w:rsid w:val="0B0F1D5F"/>
    <w:rsid w:val="121B3D24"/>
    <w:rsid w:val="16410265"/>
    <w:rsid w:val="1A011409"/>
    <w:rsid w:val="1DECE754"/>
    <w:rsid w:val="21D40D08"/>
    <w:rsid w:val="233BD557"/>
    <w:rsid w:val="25900B44"/>
    <w:rsid w:val="2932EA4A"/>
    <w:rsid w:val="2CEB8C05"/>
    <w:rsid w:val="2D797837"/>
    <w:rsid w:val="2E11BB01"/>
    <w:rsid w:val="2F6E33CC"/>
    <w:rsid w:val="30B118F9"/>
    <w:rsid w:val="3224D91A"/>
    <w:rsid w:val="35A78D4C"/>
    <w:rsid w:val="38B7E029"/>
    <w:rsid w:val="39AD98E6"/>
    <w:rsid w:val="3EDC4A28"/>
    <w:rsid w:val="3EF815EC"/>
    <w:rsid w:val="3FBBD3EE"/>
    <w:rsid w:val="40A61E7F"/>
    <w:rsid w:val="415A2E08"/>
    <w:rsid w:val="4518897A"/>
    <w:rsid w:val="45A26326"/>
    <w:rsid w:val="4684E45F"/>
    <w:rsid w:val="47E47B4E"/>
    <w:rsid w:val="4B0E0084"/>
    <w:rsid w:val="4EE4027F"/>
    <w:rsid w:val="50A9D464"/>
    <w:rsid w:val="54C548D6"/>
    <w:rsid w:val="5510B1C8"/>
    <w:rsid w:val="561C9BE6"/>
    <w:rsid w:val="5986D52C"/>
    <w:rsid w:val="5AF49DD4"/>
    <w:rsid w:val="5D6A58E3"/>
    <w:rsid w:val="61FBA80F"/>
    <w:rsid w:val="62BBF70B"/>
    <w:rsid w:val="6487ACDB"/>
    <w:rsid w:val="65413F71"/>
    <w:rsid w:val="65FF1B3D"/>
    <w:rsid w:val="6850B236"/>
    <w:rsid w:val="69100520"/>
    <w:rsid w:val="6BA19435"/>
    <w:rsid w:val="6BC5F36C"/>
    <w:rsid w:val="717C8B7B"/>
    <w:rsid w:val="728E2306"/>
    <w:rsid w:val="75A25DD4"/>
    <w:rsid w:val="75FE6B95"/>
    <w:rsid w:val="7709D47F"/>
    <w:rsid w:val="771ABF0E"/>
    <w:rsid w:val="78666845"/>
    <w:rsid w:val="7AA2953B"/>
    <w:rsid w:val="7B5C7714"/>
    <w:rsid w:val="7F9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BE5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1.png@01D7F67A.08833AE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iplook.com/products/charging-functi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E8A3D6-974E-43D7-9B34-B46A1DE2F6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573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94</cp:revision>
  <dcterms:created xsi:type="dcterms:W3CDTF">2022-03-04T00:14:00Z</dcterms:created>
  <dcterms:modified xsi:type="dcterms:W3CDTF">2022-08-10T20:09:00Z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