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BDA5796" w:rsidR="4B0E0084" w:rsidRDefault="001256D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T1195.502</w:t>
      </w:r>
      <w:r w:rsidR="00A641AE">
        <w:rPr>
          <w:rFonts w:ascii="Arial" w:eastAsia="Arial" w:hAnsi="Arial" w:cs="Arial"/>
          <w:sz w:val="44"/>
          <w:szCs w:val="44"/>
        </w:rPr>
        <w:t xml:space="preserve"> </w:t>
      </w:r>
      <w:r w:rsidRPr="001256D8">
        <w:rPr>
          <w:rFonts w:ascii="Arial" w:eastAsia="Arial" w:hAnsi="Arial" w:cs="Arial"/>
          <w:sz w:val="44"/>
          <w:szCs w:val="44"/>
        </w:rPr>
        <w:t>Compromise Service Supply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76D449D4" w14:textId="77777777" w:rsidR="00682755" w:rsidRDefault="00E410E7" w:rsidP="14BAED61">
      <w:pPr>
        <w:rPr>
          <w:rFonts w:ascii="Arial" w:eastAsia="Arial" w:hAnsi="Arial" w:cs="Arial"/>
          <w:lang w:val="en"/>
        </w:rPr>
      </w:pPr>
      <w:r w:rsidRPr="14BAED61">
        <w:rPr>
          <w:rFonts w:ascii="Arial" w:eastAsia="Arial" w:hAnsi="Arial" w:cs="Arial"/>
        </w:rPr>
        <w:t xml:space="preserve">Description: </w:t>
      </w:r>
      <w:r w:rsidR="00675D7B" w:rsidRPr="14BAED61">
        <w:rPr>
          <w:rFonts w:ascii="Arial" w:eastAsia="Arial" w:hAnsi="Arial" w:cs="Arial"/>
          <w:lang w:val="en"/>
        </w:rPr>
        <w:t>Adversaries may manipulate service or service delivery mechanisms prior to or while used by a mobile network operator (MNO) for the purpose of data or system compromise.</w:t>
      </w:r>
    </w:p>
    <w:p w14:paraId="1C03E549" w14:textId="77777777" w:rsidR="00682755" w:rsidRDefault="00682755" w:rsidP="14BAED61">
      <w:pPr>
        <w:rPr>
          <w:rFonts w:ascii="Arial" w:eastAsia="Arial" w:hAnsi="Arial" w:cs="Arial"/>
          <w:lang w:val="en"/>
        </w:rPr>
      </w:pPr>
    </w:p>
    <w:p w14:paraId="4840F1F5" w14:textId="37C6A664" w:rsidR="00A23F8C" w:rsidRDefault="00675D7B" w:rsidP="14BAED61">
      <w:pPr>
        <w:rPr>
          <w:rFonts w:ascii="Arial" w:eastAsia="Arial" w:hAnsi="Arial" w:cs="Arial"/>
          <w:lang w:val="en"/>
        </w:rPr>
      </w:pPr>
      <w:r w:rsidRPr="14BAED61">
        <w:rPr>
          <w:rFonts w:ascii="Arial" w:eastAsia="Arial" w:hAnsi="Arial" w:cs="Arial"/>
          <w:lang w:val="en"/>
        </w:rPr>
        <w:t xml:space="preserve">The adversary </w:t>
      </w:r>
      <w:r w:rsidR="00AC729C">
        <w:rPr>
          <w:rFonts w:ascii="Arial" w:eastAsia="Arial" w:hAnsi="Arial" w:cs="Arial"/>
          <w:lang w:val="en"/>
        </w:rPr>
        <w:t>may</w:t>
      </w:r>
      <w:r w:rsidRPr="14BAED61">
        <w:rPr>
          <w:rFonts w:ascii="Arial" w:eastAsia="Arial" w:hAnsi="Arial" w:cs="Arial"/>
          <w:lang w:val="en"/>
        </w:rPr>
        <w:t xml:space="preserve"> use the compromised service </w:t>
      </w:r>
      <w:proofErr w:type="gramStart"/>
      <w:r w:rsidRPr="14BAED61">
        <w:rPr>
          <w:rFonts w:ascii="Arial" w:eastAsia="Arial" w:hAnsi="Arial" w:cs="Arial"/>
          <w:lang w:val="en"/>
        </w:rPr>
        <w:t xml:space="preserve">as a </w:t>
      </w:r>
      <w:r w:rsidR="00046F9B" w:rsidRPr="14BAED61">
        <w:rPr>
          <w:rFonts w:ascii="Arial" w:eastAsia="Arial" w:hAnsi="Arial" w:cs="Arial"/>
          <w:lang w:val="en"/>
        </w:rPr>
        <w:t>means</w:t>
      </w:r>
      <w:r w:rsidRPr="14BAED61">
        <w:rPr>
          <w:rFonts w:ascii="Arial" w:eastAsia="Arial" w:hAnsi="Arial" w:cs="Arial"/>
          <w:lang w:val="en"/>
        </w:rPr>
        <w:t xml:space="preserve"> to</w:t>
      </w:r>
      <w:proofErr w:type="gramEnd"/>
      <w:r w:rsidRPr="14BAED61">
        <w:rPr>
          <w:rFonts w:ascii="Arial" w:eastAsia="Arial" w:hAnsi="Arial" w:cs="Arial"/>
          <w:lang w:val="en"/>
        </w:rPr>
        <w:t xml:space="preserve"> apply additional techniques against interfaces exposed to the service provider</w:t>
      </w:r>
      <w:r w:rsidR="00D13864" w:rsidRPr="14BAED61">
        <w:rPr>
          <w:rFonts w:ascii="Arial" w:eastAsia="Arial" w:hAnsi="Arial" w:cs="Arial"/>
          <w:lang w:val="en"/>
        </w:rPr>
        <w:t xml:space="preserve"> such as the NEF</w:t>
      </w:r>
      <w:r w:rsidR="00B973B4" w:rsidRPr="14BAED61">
        <w:rPr>
          <w:rFonts w:ascii="Arial" w:eastAsia="Arial" w:hAnsi="Arial" w:cs="Arial"/>
          <w:lang w:val="en"/>
        </w:rPr>
        <w:t>.</w:t>
      </w:r>
      <w:r w:rsidRPr="14BAED61">
        <w:rPr>
          <w:rFonts w:ascii="Arial" w:eastAsia="Arial" w:hAnsi="Arial" w:cs="Arial"/>
          <w:lang w:val="en"/>
        </w:rPr>
        <w:t xml:space="preserve"> When the service prov</w:t>
      </w:r>
      <w:r w:rsidR="00B17B2E" w:rsidRPr="14BAED61">
        <w:rPr>
          <w:rFonts w:ascii="Arial" w:eastAsia="Arial" w:hAnsi="Arial" w:cs="Arial"/>
          <w:lang w:val="en"/>
        </w:rPr>
        <w:t>i</w:t>
      </w:r>
      <w:r w:rsidRPr="14BAED61">
        <w:rPr>
          <w:rFonts w:ascii="Arial" w:eastAsia="Arial" w:hAnsi="Arial" w:cs="Arial"/>
          <w:lang w:val="en"/>
        </w:rPr>
        <w:t xml:space="preserve">der hosts or provides core network functions, the adversary may attempt to compromise the 5G core components in the service provider environment, </w:t>
      </w:r>
      <w:proofErr w:type="gramStart"/>
      <w:r w:rsidRPr="14BAED61">
        <w:rPr>
          <w:rFonts w:ascii="Arial" w:eastAsia="Arial" w:hAnsi="Arial" w:cs="Arial"/>
          <w:lang w:val="en"/>
        </w:rPr>
        <w:t>e.g.</w:t>
      </w:r>
      <w:proofErr w:type="gramEnd"/>
      <w:r w:rsidRPr="14BAED61">
        <w:rPr>
          <w:rFonts w:ascii="Arial" w:eastAsia="Arial" w:hAnsi="Arial" w:cs="Arial"/>
          <w:lang w:val="en"/>
        </w:rPr>
        <w:t xml:space="preserve"> MEC hosted NFs</w:t>
      </w:r>
      <w:r w:rsidR="00175622">
        <w:rPr>
          <w:rFonts w:ascii="Arial" w:eastAsia="Arial" w:hAnsi="Arial" w:cs="Arial"/>
          <w:lang w:val="en"/>
        </w:rPr>
        <w:t xml:space="preserve"> (</w:t>
      </w:r>
      <w:r w:rsidR="000E5EC0" w:rsidRPr="14BAED61">
        <w:rPr>
          <w:rFonts w:ascii="Arial" w:eastAsia="Arial" w:hAnsi="Arial" w:cs="Arial"/>
          <w:lang w:val="en"/>
        </w:rPr>
        <w:t>clause</w:t>
      </w:r>
      <w:r w:rsidR="00FA74A9" w:rsidRPr="14BAED61">
        <w:rPr>
          <w:rFonts w:ascii="Arial" w:eastAsia="Arial" w:hAnsi="Arial" w:cs="Arial"/>
          <w:lang w:val="en"/>
        </w:rPr>
        <w:t xml:space="preserve"> 5.13 </w:t>
      </w:r>
      <w:r w:rsidR="001F04DA">
        <w:rPr>
          <w:rFonts w:ascii="Arial" w:eastAsia="Arial" w:hAnsi="Arial" w:cs="Arial"/>
          <w:lang w:val="en"/>
        </w:rPr>
        <w:t>of</w:t>
      </w:r>
      <w:r w:rsidR="00FA74A9" w:rsidRPr="14BAED61">
        <w:rPr>
          <w:rFonts w:ascii="Arial" w:eastAsia="Arial" w:hAnsi="Arial" w:cs="Arial"/>
          <w:lang w:val="en"/>
        </w:rPr>
        <w:t xml:space="preserve"> [1]</w:t>
      </w:r>
      <w:r w:rsidR="00175622">
        <w:rPr>
          <w:rFonts w:ascii="Arial" w:eastAsia="Arial" w:hAnsi="Arial" w:cs="Arial"/>
          <w:lang w:val="en"/>
        </w:rPr>
        <w:t>)</w:t>
      </w:r>
      <w:r w:rsidRPr="14BAED61">
        <w:rPr>
          <w:rFonts w:ascii="Arial" w:eastAsia="Arial" w:hAnsi="Arial" w:cs="Arial"/>
          <w:lang w:val="en"/>
        </w:rPr>
        <w:t xml:space="preserve">, or through the service provider environment, attempt compromise of other core NFs not hosted in the MEC. </w:t>
      </w:r>
    </w:p>
    <w:p w14:paraId="53C095E8" w14:textId="77777777" w:rsidR="00A23F8C" w:rsidRDefault="00A23F8C" w:rsidP="14BAED61">
      <w:pPr>
        <w:rPr>
          <w:rFonts w:ascii="Arial" w:eastAsia="Arial" w:hAnsi="Arial" w:cs="Arial"/>
          <w:lang w:val="en"/>
        </w:rPr>
      </w:pPr>
    </w:p>
    <w:p w14:paraId="29C845C3" w14:textId="6E7D432F" w:rsidR="00A23F8C" w:rsidRDefault="00675D7B" w:rsidP="14BAED61">
      <w:pPr>
        <w:rPr>
          <w:rFonts w:ascii="Arial" w:eastAsia="Arial" w:hAnsi="Arial" w:cs="Arial"/>
          <w:lang w:val="en"/>
        </w:rPr>
      </w:pPr>
      <w:r w:rsidRPr="14BAED61">
        <w:rPr>
          <w:rFonts w:ascii="Arial" w:eastAsia="Arial" w:hAnsi="Arial" w:cs="Arial"/>
          <w:lang w:val="en"/>
        </w:rPr>
        <w:t>When service providers are used for prov</w:t>
      </w:r>
      <w:r w:rsidR="00B17B2E" w:rsidRPr="14BAED61">
        <w:rPr>
          <w:rFonts w:ascii="Arial" w:eastAsia="Arial" w:hAnsi="Arial" w:cs="Arial"/>
          <w:lang w:val="en"/>
        </w:rPr>
        <w:t>i</w:t>
      </w:r>
      <w:r w:rsidRPr="14BAED61">
        <w:rPr>
          <w:rFonts w:ascii="Arial" w:eastAsia="Arial" w:hAnsi="Arial" w:cs="Arial"/>
          <w:lang w:val="en"/>
        </w:rPr>
        <w:t xml:space="preserve">ding service to customers, the adversary may be </w:t>
      </w:r>
      <w:proofErr w:type="gramStart"/>
      <w:r w:rsidRPr="14BAED61">
        <w:rPr>
          <w:rFonts w:ascii="Arial" w:eastAsia="Arial" w:hAnsi="Arial" w:cs="Arial"/>
          <w:lang w:val="en"/>
        </w:rPr>
        <w:t>in a position</w:t>
      </w:r>
      <w:proofErr w:type="gramEnd"/>
      <w:r w:rsidRPr="14BAED61">
        <w:rPr>
          <w:rFonts w:ascii="Arial" w:eastAsia="Arial" w:hAnsi="Arial" w:cs="Arial"/>
          <w:lang w:val="en"/>
        </w:rPr>
        <w:t xml:space="preserve"> to compromise information about the </w:t>
      </w:r>
      <w:r w:rsidR="0002123E">
        <w:rPr>
          <w:rFonts w:ascii="Arial" w:eastAsia="Arial" w:hAnsi="Arial" w:cs="Arial"/>
          <w:lang w:val="en"/>
        </w:rPr>
        <w:t>subscrib</w:t>
      </w:r>
      <w:r w:rsidRPr="14BAED61">
        <w:rPr>
          <w:rFonts w:ascii="Arial" w:eastAsia="Arial" w:hAnsi="Arial" w:cs="Arial"/>
          <w:lang w:val="en"/>
        </w:rPr>
        <w:t>er.</w:t>
      </w:r>
      <w:r w:rsidR="00E410E7" w:rsidRPr="14BAED61">
        <w:rPr>
          <w:rFonts w:ascii="Arial" w:eastAsia="Arial" w:hAnsi="Arial" w:cs="Arial"/>
          <w:lang w:val="en"/>
        </w:rPr>
        <w:t xml:space="preserve"> </w:t>
      </w:r>
    </w:p>
    <w:p w14:paraId="57DE0ED6" w14:textId="77777777" w:rsidR="00A23F8C" w:rsidRDefault="00A23F8C" w:rsidP="14BAED61">
      <w:pPr>
        <w:rPr>
          <w:rFonts w:ascii="Arial" w:eastAsia="Arial" w:hAnsi="Arial" w:cs="Arial"/>
          <w:lang w:val="en"/>
        </w:rPr>
      </w:pPr>
    </w:p>
    <w:p w14:paraId="53CEB69C" w14:textId="03290629" w:rsidR="00E410E7" w:rsidRDefault="00906E7E" w:rsidP="14BAED61">
      <w:pPr>
        <w:rPr>
          <w:rFonts w:ascii="Arial" w:eastAsia="Arial" w:hAnsi="Arial" w:cs="Arial"/>
          <w:lang w:val="en"/>
        </w:rPr>
      </w:pPr>
      <w:r w:rsidRPr="14BAED61">
        <w:rPr>
          <w:rFonts w:ascii="Arial" w:eastAsia="Arial" w:hAnsi="Arial" w:cs="Arial"/>
          <w:lang w:val="en"/>
        </w:rPr>
        <w:t xml:space="preserve">The adversary, as an example, may also </w:t>
      </w:r>
      <w:r w:rsidR="00A45709" w:rsidRPr="14BAED61">
        <w:rPr>
          <w:rFonts w:ascii="Arial" w:eastAsia="Arial" w:hAnsi="Arial" w:cs="Arial"/>
          <w:lang w:val="en"/>
        </w:rPr>
        <w:t>compromise software and</w:t>
      </w:r>
      <w:r w:rsidR="00996000" w:rsidRPr="14BAED61">
        <w:rPr>
          <w:rFonts w:ascii="Arial" w:eastAsia="Arial" w:hAnsi="Arial" w:cs="Arial"/>
          <w:lang w:val="en"/>
        </w:rPr>
        <w:t>/or</w:t>
      </w:r>
      <w:r w:rsidR="00A45709" w:rsidRPr="14BAED61">
        <w:rPr>
          <w:rFonts w:ascii="Arial" w:eastAsia="Arial" w:hAnsi="Arial" w:cs="Arial"/>
          <w:lang w:val="en"/>
        </w:rPr>
        <w:t xml:space="preserve"> hardware used by the service provider, such as opensource, as a technique to </w:t>
      </w:r>
      <w:r w:rsidR="00996000" w:rsidRPr="14BAED61">
        <w:rPr>
          <w:rFonts w:ascii="Arial" w:eastAsia="Arial" w:hAnsi="Arial" w:cs="Arial"/>
          <w:lang w:val="en"/>
        </w:rPr>
        <w:t>gain initial access or achieve other tactics within the service provider to provide a position for initial access to the MNO</w:t>
      </w:r>
      <w:r w:rsidR="005E7EF2">
        <w:rPr>
          <w:rFonts w:ascii="Arial" w:eastAsia="Arial" w:hAnsi="Arial" w:cs="Arial"/>
          <w:lang w:val="en"/>
        </w:rPr>
        <w:t>’s network</w:t>
      </w:r>
      <w:r w:rsidR="00996000" w:rsidRPr="14BAED61">
        <w:rPr>
          <w:rFonts w:ascii="Arial" w:eastAsia="Arial" w:hAnsi="Arial" w:cs="Arial"/>
          <w:lang w:val="en"/>
        </w:rPr>
        <w:t>.</w:t>
      </w:r>
      <w:r w:rsidR="1A8E3BE7" w:rsidRPr="14BAED61">
        <w:rPr>
          <w:rFonts w:ascii="Arial" w:eastAsia="Arial" w:hAnsi="Arial" w:cs="Arial"/>
          <w:lang w:val="en"/>
        </w:rPr>
        <w:t xml:space="preserve"> </w:t>
      </w:r>
      <w:proofErr w:type="gramStart"/>
      <w:r w:rsidR="0812B627" w:rsidRPr="14BAED61">
        <w:rPr>
          <w:rFonts w:ascii="Arial" w:eastAsia="Arial" w:hAnsi="Arial" w:cs="Arial"/>
          <w:lang w:val="en"/>
        </w:rPr>
        <w:t>Open source</w:t>
      </w:r>
      <w:proofErr w:type="gramEnd"/>
      <w:r w:rsidR="0812B627" w:rsidRPr="14BAED61">
        <w:rPr>
          <w:rFonts w:ascii="Arial" w:eastAsia="Arial" w:hAnsi="Arial" w:cs="Arial"/>
          <w:lang w:val="en"/>
        </w:rPr>
        <w:t xml:space="preserve"> software may be an attractive target for supply chain attacks, as detection, reporting, and patch availability timelines can provide a greater window of opportunity for vulnerabilities to be exploited.</w:t>
      </w:r>
    </w:p>
    <w:p w14:paraId="231E1880" w14:textId="2D669ADE" w:rsidR="00E410E7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0D5F7EF2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675D7B">
        <w:rPr>
          <w:rFonts w:ascii="Arial" w:eastAsia="Arial" w:hAnsi="Arial" w:cs="Arial"/>
        </w:rPr>
        <w:t xml:space="preserve"> N/A</w:t>
      </w:r>
    </w:p>
    <w:p w14:paraId="1B8F05CE" w14:textId="1AA1143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proofErr w:type="gramStart"/>
      <w:r w:rsidR="00687EAE">
        <w:rPr>
          <w:rFonts w:ascii="Arial" w:eastAsia="Arial" w:hAnsi="Arial" w:cs="Arial"/>
        </w:rPr>
        <w:t>I</w:t>
      </w:r>
      <w:r w:rsidR="001B2CF3" w:rsidRPr="00D13864">
        <w:rPr>
          <w:rStyle w:val="cf01"/>
          <w:rFonts w:ascii="Arial" w:hAnsi="Arial" w:cs="Arial"/>
          <w:sz w:val="24"/>
          <w:szCs w:val="24"/>
        </w:rPr>
        <w:t>nitial-access</w:t>
      </w:r>
      <w:proofErr w:type="gramEnd"/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72198D7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9A351F" w:rsidRPr="0F4A1830" w:rsidDel="001B2CF3">
        <w:rPr>
          <w:rFonts w:ascii="Arial" w:eastAsia="Arial" w:hAnsi="Arial" w:cs="Arial"/>
        </w:rPr>
        <w:t>MEC</w:t>
      </w:r>
      <w:r w:rsidR="008F1682">
        <w:rPr>
          <w:rFonts w:ascii="Arial" w:eastAsia="Arial" w:hAnsi="Arial" w:cs="Arial"/>
        </w:rPr>
        <w:t>, OA&amp;M, Virtualization</w:t>
      </w:r>
    </w:p>
    <w:p w14:paraId="264F76E1" w14:textId="6F1B3ADD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FE1D5B">
        <w:rPr>
          <w:rFonts w:ascii="Arial" w:eastAsia="Arial" w:hAnsi="Arial" w:cs="Arial"/>
        </w:rPr>
        <w:t>5G</w:t>
      </w:r>
    </w:p>
    <w:p w14:paraId="52F75D46" w14:textId="76D12EBA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6A59CF">
        <w:rPr>
          <w:rFonts w:ascii="Arial" w:eastAsia="Arial" w:hAnsi="Arial" w:cs="Arial"/>
        </w:rPr>
        <w:t>N/A</w:t>
      </w:r>
    </w:p>
    <w:p w14:paraId="46A3F73A" w14:textId="6A82597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1375F7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8E2432" w:rsidDel="00774781">
        <w:rPr>
          <w:rFonts w:ascii="Arial" w:eastAsia="Arial" w:hAnsi="Arial" w:cs="Arial"/>
        </w:rPr>
        <w:t xml:space="preserve"> 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A05A0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F7575" w:rsidRPr="009C2D05" w14:paraId="41BAFFB1" w14:textId="77777777" w:rsidTr="00A05A0C">
        <w:tc>
          <w:tcPr>
            <w:tcW w:w="4680" w:type="dxa"/>
          </w:tcPr>
          <w:p w14:paraId="67F07D58" w14:textId="7F4EFF79" w:rsidR="000F7575" w:rsidRPr="009C2D05" w:rsidRDefault="003354E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HW</w:t>
            </w:r>
            <w:r w:rsidR="00140232">
              <w:rPr>
                <w:rFonts w:ascii="Arial" w:eastAsia="Arial" w:hAnsi="Arial" w:cs="Arial"/>
                <w:sz w:val="16"/>
                <w:szCs w:val="16"/>
              </w:rPr>
              <w:t xml:space="preserve"> supply chain</w:t>
            </w:r>
          </w:p>
        </w:tc>
        <w:tc>
          <w:tcPr>
            <w:tcW w:w="4680" w:type="dxa"/>
          </w:tcPr>
          <w:p w14:paraId="10059893" w14:textId="6FC20812" w:rsidR="000F7575" w:rsidRPr="009C2D05" w:rsidRDefault="00EE4887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Hardware used in service may be compromised in its </w:t>
            </w:r>
            <w:r w:rsidR="00CD22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build and delivery supply chain</w:t>
            </w:r>
          </w:p>
        </w:tc>
      </w:tr>
      <w:tr w:rsidR="00140232" w:rsidRPr="009C2D05" w14:paraId="53E68CED" w14:textId="77777777" w:rsidTr="00A05A0C">
        <w:tc>
          <w:tcPr>
            <w:tcW w:w="4680" w:type="dxa"/>
          </w:tcPr>
          <w:p w14:paraId="4B0A9CD8" w14:textId="7CAAAA56" w:rsidR="00140232" w:rsidRDefault="00140232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SW supply chain</w:t>
            </w:r>
          </w:p>
        </w:tc>
        <w:tc>
          <w:tcPr>
            <w:tcW w:w="4680" w:type="dxa"/>
          </w:tcPr>
          <w:p w14:paraId="712FDAB7" w14:textId="1CC8E5DC" w:rsidR="00140232" w:rsidRPr="009C2D05" w:rsidRDefault="00CD2293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Software used in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service may be compromised in its build and delivery supply chain</w:t>
            </w:r>
          </w:p>
        </w:tc>
      </w:tr>
      <w:tr w:rsidR="00E435E4" w:rsidRPr="009C2D05" w14:paraId="0EFDBD0A" w14:textId="77777777" w:rsidTr="00A05A0C">
        <w:tc>
          <w:tcPr>
            <w:tcW w:w="4680" w:type="dxa"/>
          </w:tcPr>
          <w:p w14:paraId="5331E5A5" w14:textId="7358C4C1" w:rsidR="00E435E4" w:rsidRDefault="00A05A0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OA&amp;M tools</w:t>
            </w:r>
          </w:p>
        </w:tc>
        <w:tc>
          <w:tcPr>
            <w:tcW w:w="4680" w:type="dxa"/>
          </w:tcPr>
          <w:p w14:paraId="3C43C588" w14:textId="676E803A" w:rsidR="00E435E4" w:rsidRPr="009C2D05" w:rsidRDefault="00E44782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OA&amp;M tools in service has greater access to network elements</w:t>
            </w:r>
            <w:r w:rsidR="00AC67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compromise of such tools provide adversary access to network providing the service</w:t>
            </w:r>
          </w:p>
        </w:tc>
      </w:tr>
      <w:tr w:rsidR="009E529D" w:rsidRPr="009C2D05" w14:paraId="680C7721" w14:textId="77777777" w:rsidTr="00A05A0C">
        <w:tc>
          <w:tcPr>
            <w:tcW w:w="4680" w:type="dxa"/>
          </w:tcPr>
          <w:p w14:paraId="2224F6F2" w14:textId="5B3975EF" w:rsidR="009E529D" w:rsidRDefault="00E85EA6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Malicious Service provider</w:t>
            </w:r>
          </w:p>
        </w:tc>
        <w:tc>
          <w:tcPr>
            <w:tcW w:w="4680" w:type="dxa"/>
          </w:tcPr>
          <w:p w14:paraId="7F2275C1" w14:textId="217A37D0" w:rsidR="009E529D" w:rsidRPr="009C2D05" w:rsidRDefault="00A20822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Service provider </w:t>
            </w:r>
            <w:r w:rsidR="00D93A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management may have nefarious intent for data collection or </w:t>
            </w:r>
            <w:proofErr w:type="gramStart"/>
            <w:r w:rsidR="00CF362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providing assistance to</w:t>
            </w:r>
            <w:proofErr w:type="gramEnd"/>
            <w:r w:rsidR="00CF362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other nefarious actors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62BD3ED" w:rsidR="5986D52C" w:rsidRPr="009C2D05" w:rsidRDefault="007160D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346C3D0" w:rsidR="5986D52C" w:rsidRPr="009C2D05" w:rsidRDefault="00FA25B0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32D7E" w:rsidRPr="009C2D05" w14:paraId="69C78ED9" w14:textId="77777777" w:rsidTr="25900B44">
        <w:tc>
          <w:tcPr>
            <w:tcW w:w="4680" w:type="dxa"/>
          </w:tcPr>
          <w:p w14:paraId="4C4B4C3D" w14:textId="6CE8CF71" w:rsidR="00632D7E" w:rsidRPr="009C2D05" w:rsidRDefault="002E6E4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Supplier Ev</w:t>
            </w:r>
            <w:r w:rsidR="003442D5"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luation</w:t>
            </w:r>
          </w:p>
        </w:tc>
        <w:tc>
          <w:tcPr>
            <w:tcW w:w="4680" w:type="dxa"/>
          </w:tcPr>
          <w:p w14:paraId="7FB8A60F" w14:textId="7F60B9F1" w:rsidR="00632D7E" w:rsidRPr="009C2D05" w:rsidRDefault="00FC797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5G </w:t>
            </w:r>
            <w:r w:rsidR="00FC7951">
              <w:rPr>
                <w:rFonts w:ascii="Arial" w:eastAsia="Arial" w:hAnsi="Arial" w:cs="Arial"/>
                <w:sz w:val="16"/>
                <w:szCs w:val="16"/>
              </w:rPr>
              <w:t xml:space="preserve">Operators </w:t>
            </w:r>
            <w:r>
              <w:rPr>
                <w:rFonts w:ascii="Arial" w:eastAsia="Arial" w:hAnsi="Arial" w:cs="Arial"/>
                <w:sz w:val="16"/>
                <w:szCs w:val="16"/>
              </w:rPr>
              <w:t>should</w:t>
            </w:r>
            <w:r w:rsidR="00CF0149">
              <w:rPr>
                <w:rFonts w:ascii="Arial" w:eastAsia="Arial" w:hAnsi="Arial" w:cs="Arial"/>
                <w:sz w:val="16"/>
                <w:szCs w:val="16"/>
              </w:rPr>
              <w:t xml:space="preserve"> evaluate suppliers </w:t>
            </w:r>
            <w:r w:rsidR="00D00D69">
              <w:rPr>
                <w:rFonts w:ascii="Arial" w:eastAsia="Arial" w:hAnsi="Arial" w:cs="Arial"/>
                <w:sz w:val="16"/>
                <w:szCs w:val="16"/>
              </w:rPr>
              <w:t>of services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for their </w:t>
            </w:r>
            <w:r w:rsidR="00FE34C9">
              <w:rPr>
                <w:rFonts w:ascii="Arial" w:eastAsia="Arial" w:hAnsi="Arial" w:cs="Arial"/>
                <w:sz w:val="16"/>
                <w:szCs w:val="16"/>
              </w:rPr>
              <w:t>technical and administrative controls</w:t>
            </w:r>
            <w:r w:rsidR="00A97531">
              <w:rPr>
                <w:rFonts w:ascii="Arial" w:eastAsia="Arial" w:hAnsi="Arial" w:cs="Arial"/>
                <w:sz w:val="16"/>
                <w:szCs w:val="16"/>
              </w:rPr>
              <w:t xml:space="preserve"> to ensure that it meets minimum standards for assured services. </w:t>
            </w:r>
            <w:r w:rsidR="00133606">
              <w:rPr>
                <w:rFonts w:ascii="Arial" w:eastAsia="Arial" w:hAnsi="Arial" w:cs="Arial"/>
                <w:sz w:val="16"/>
                <w:szCs w:val="16"/>
              </w:rPr>
              <w:t xml:space="preserve">These evaluations </w:t>
            </w:r>
            <w:r w:rsidR="008B450E">
              <w:rPr>
                <w:rFonts w:ascii="Arial" w:eastAsia="Arial" w:hAnsi="Arial" w:cs="Arial"/>
                <w:sz w:val="16"/>
                <w:szCs w:val="16"/>
              </w:rPr>
              <w:t>may include SW</w:t>
            </w:r>
            <w:r w:rsidR="00BD60A6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8B450E">
              <w:rPr>
                <w:rFonts w:ascii="Arial" w:eastAsia="Arial" w:hAnsi="Arial" w:cs="Arial"/>
                <w:sz w:val="16"/>
                <w:szCs w:val="16"/>
              </w:rPr>
              <w:t xml:space="preserve">HD </w:t>
            </w:r>
            <w:r w:rsidR="00E32AE0">
              <w:rPr>
                <w:rFonts w:ascii="Arial" w:eastAsia="Arial" w:hAnsi="Arial" w:cs="Arial"/>
                <w:sz w:val="16"/>
                <w:szCs w:val="16"/>
              </w:rPr>
              <w:t>supply chain</w:t>
            </w:r>
            <w:r w:rsidR="00DA7B57">
              <w:rPr>
                <w:rFonts w:ascii="Arial" w:eastAsia="Arial" w:hAnsi="Arial" w:cs="Arial"/>
                <w:sz w:val="16"/>
                <w:szCs w:val="16"/>
              </w:rPr>
              <w:t>, personnel and process</w:t>
            </w:r>
            <w:r w:rsidR="00E32AE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B450E">
              <w:rPr>
                <w:rFonts w:ascii="Arial" w:eastAsia="Arial" w:hAnsi="Arial" w:cs="Arial"/>
                <w:sz w:val="16"/>
                <w:szCs w:val="16"/>
              </w:rPr>
              <w:t>used for service creation</w:t>
            </w:r>
            <w:r w:rsidR="00131643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016F13" w:rsidRPr="009C2D05" w14:paraId="4A972CDE" w14:textId="77777777" w:rsidTr="25900B44">
        <w:tc>
          <w:tcPr>
            <w:tcW w:w="4680" w:type="dxa"/>
          </w:tcPr>
          <w:p w14:paraId="7AAB90C9" w14:textId="612AD8F1" w:rsidR="00016F13" w:rsidRDefault="00E216BF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Integrate Performance </w:t>
            </w:r>
            <w:r w:rsidR="00A80234">
              <w:rPr>
                <w:rFonts w:ascii="Arial" w:eastAsia="Arial" w:hAnsi="Arial" w:cs="Arial"/>
                <w:sz w:val="16"/>
                <w:szCs w:val="16"/>
              </w:rPr>
              <w:t>and Change Management</w:t>
            </w:r>
          </w:p>
        </w:tc>
        <w:tc>
          <w:tcPr>
            <w:tcW w:w="4680" w:type="dxa"/>
          </w:tcPr>
          <w:p w14:paraId="22DE70B9" w14:textId="3B795339" w:rsidR="00016F13" w:rsidRDefault="004D0C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5G operators should </w:t>
            </w:r>
            <w:r w:rsidR="0088718D">
              <w:rPr>
                <w:rFonts w:ascii="Arial" w:eastAsia="Arial" w:hAnsi="Arial" w:cs="Arial"/>
                <w:sz w:val="16"/>
                <w:szCs w:val="16"/>
              </w:rPr>
              <w:t xml:space="preserve">integrate </w:t>
            </w:r>
            <w:r w:rsidR="00F76D0B">
              <w:rPr>
                <w:rFonts w:ascii="Arial" w:eastAsia="Arial" w:hAnsi="Arial" w:cs="Arial"/>
                <w:sz w:val="16"/>
                <w:szCs w:val="16"/>
              </w:rPr>
              <w:t xml:space="preserve">performance and change management </w:t>
            </w:r>
            <w:r w:rsidR="003021C6">
              <w:rPr>
                <w:rFonts w:ascii="Arial" w:eastAsia="Arial" w:hAnsi="Arial" w:cs="Arial"/>
                <w:sz w:val="16"/>
                <w:szCs w:val="16"/>
              </w:rPr>
              <w:t xml:space="preserve">from their suppliers into their </w:t>
            </w:r>
            <w:r w:rsidR="001036CC">
              <w:rPr>
                <w:rFonts w:ascii="Arial" w:eastAsia="Arial" w:hAnsi="Arial" w:cs="Arial"/>
                <w:sz w:val="16"/>
                <w:szCs w:val="16"/>
              </w:rPr>
              <w:t xml:space="preserve">own OA&amp;M tools to </w:t>
            </w:r>
            <w:r w:rsidR="00854D83">
              <w:rPr>
                <w:rFonts w:ascii="Arial" w:eastAsia="Arial" w:hAnsi="Arial" w:cs="Arial"/>
                <w:sz w:val="16"/>
                <w:szCs w:val="16"/>
              </w:rPr>
              <w:t>have complete visibility into service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77777777" w:rsidR="00EB6DC6" w:rsidRPr="009C2D05" w:rsidRDefault="00EB6DC6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3EF1637F" w:rsidR="001036B2" w:rsidRPr="009C2D05" w:rsidRDefault="00F322C0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NEF</w:t>
            </w:r>
          </w:p>
        </w:tc>
        <w:tc>
          <w:tcPr>
            <w:tcW w:w="4680" w:type="dxa"/>
          </w:tcPr>
          <w:p w14:paraId="20993E06" w14:textId="533CA647" w:rsidR="001A1941" w:rsidRPr="009C2D05" w:rsidRDefault="00F322C0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Exposure Function is a likely target for adversaries in a MEC environment.</w:t>
            </w:r>
          </w:p>
        </w:tc>
      </w:tr>
      <w:tr w:rsidR="00477219" w:rsidRPr="009C2D05" w14:paraId="35623A2B" w14:textId="77777777" w:rsidTr="0272C9E8">
        <w:tc>
          <w:tcPr>
            <w:tcW w:w="4680" w:type="dxa"/>
          </w:tcPr>
          <w:p w14:paraId="7171B888" w14:textId="37A6B8AF" w:rsidR="00477219" w:rsidRDefault="00477219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Transport network</w:t>
            </w:r>
          </w:p>
        </w:tc>
        <w:tc>
          <w:tcPr>
            <w:tcW w:w="4680" w:type="dxa"/>
          </w:tcPr>
          <w:p w14:paraId="32C11C2A" w14:textId="21711F60" w:rsidR="00477219" w:rsidRDefault="004D5219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Distributed deployment models may require third party tra</w:t>
            </w:r>
            <w:r w:rsidR="00C16441">
              <w:rPr>
                <w:rFonts w:ascii="Arial" w:eastAsia="Arial" w:hAnsi="Arial" w:cs="Arial"/>
                <w:sz w:val="16"/>
                <w:szCs w:val="16"/>
              </w:rPr>
              <w:t>nsport service</w:t>
            </w:r>
          </w:p>
        </w:tc>
      </w:tr>
      <w:tr w:rsidR="00C16441" w:rsidRPr="009C2D05" w14:paraId="775AB53A" w14:textId="77777777" w:rsidTr="0272C9E8">
        <w:tc>
          <w:tcPr>
            <w:tcW w:w="4680" w:type="dxa"/>
          </w:tcPr>
          <w:p w14:paraId="1ABDCBB5" w14:textId="6F40B3D1" w:rsidR="00C16441" w:rsidRDefault="005C6BF8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MEC</w:t>
            </w:r>
          </w:p>
        </w:tc>
        <w:tc>
          <w:tcPr>
            <w:tcW w:w="4680" w:type="dxa"/>
          </w:tcPr>
          <w:p w14:paraId="7E3CA389" w14:textId="601C28B4" w:rsidR="00C16441" w:rsidRDefault="005C6BF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Distributed deployment models may require third party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MEC </w:t>
            </w:r>
            <w:r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  <w:tr w:rsidR="006B400E" w:rsidRPr="009C2D05" w14:paraId="7DDA57F9" w14:textId="77777777" w:rsidTr="0272C9E8">
        <w:tc>
          <w:tcPr>
            <w:tcW w:w="4680" w:type="dxa"/>
          </w:tcPr>
          <w:p w14:paraId="2154DF2B" w14:textId="030E10D1" w:rsidR="006B400E" w:rsidRDefault="00121EAB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RAN </w:t>
            </w:r>
          </w:p>
        </w:tc>
        <w:tc>
          <w:tcPr>
            <w:tcW w:w="4680" w:type="dxa"/>
          </w:tcPr>
          <w:p w14:paraId="5002288C" w14:textId="75E695CB" w:rsidR="006B400E" w:rsidRDefault="00A878F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RAN as a Service or Shared RAN </w:t>
            </w:r>
          </w:p>
        </w:tc>
      </w:tr>
      <w:tr w:rsidR="007F4A65" w:rsidRPr="009C2D05" w14:paraId="4E328555" w14:textId="77777777" w:rsidTr="0272C9E8">
        <w:tc>
          <w:tcPr>
            <w:tcW w:w="4680" w:type="dxa"/>
          </w:tcPr>
          <w:p w14:paraId="799FD266" w14:textId="590D7389" w:rsidR="007F4A65" w:rsidRDefault="002E206E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MVNO </w:t>
            </w:r>
            <w:r w:rsidR="00276C95">
              <w:rPr>
                <w:rFonts w:ascii="Arial" w:eastAsia="Arial" w:hAnsi="Arial" w:cs="Arial"/>
                <w:sz w:val="16"/>
                <w:szCs w:val="16"/>
              </w:rPr>
              <w:t>Core and RAN infrastructure</w:t>
            </w:r>
          </w:p>
        </w:tc>
        <w:tc>
          <w:tcPr>
            <w:tcW w:w="4680" w:type="dxa"/>
          </w:tcPr>
          <w:p w14:paraId="03577BBC" w14:textId="4D84194A" w:rsidR="007F4A65" w:rsidRDefault="002E206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Mobile Virtual Network </w:t>
            </w:r>
            <w:r w:rsidR="00276C95">
              <w:rPr>
                <w:rFonts w:ascii="Arial" w:eastAsia="Arial" w:hAnsi="Arial" w:cs="Arial"/>
                <w:sz w:val="16"/>
                <w:szCs w:val="16"/>
              </w:rPr>
              <w:t xml:space="preserve">Operators may </w:t>
            </w:r>
            <w:r w:rsidR="0044224A">
              <w:rPr>
                <w:rFonts w:ascii="Arial" w:eastAsia="Arial" w:hAnsi="Arial" w:cs="Arial"/>
                <w:sz w:val="16"/>
                <w:szCs w:val="16"/>
              </w:rPr>
              <w:t>complete rely on third party provided services for their subscriber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12E7B6D6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CAD3BE2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7777777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127CAA7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 w:rsidR="00F236E6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4017FA">
              <w:rPr>
                <w:rFonts w:ascii="Arial" w:eastAsia="Arial" w:hAnsi="Arial" w:cs="Arial"/>
                <w:sz w:val="16"/>
                <w:szCs w:val="16"/>
              </w:rPr>
              <w:t>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 w:rsidR="004017F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77777777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25D80B3B" w:rsidR="0071530B" w:rsidRDefault="0071530B" w:rsidP="009C2D05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56"/>
        <w:gridCol w:w="6299"/>
      </w:tblGrid>
      <w:tr w:rsidR="00A01E63" w14:paraId="47B307A5" w14:textId="77777777" w:rsidTr="00615A2B">
        <w:trPr>
          <w:trHeight w:val="422"/>
        </w:trPr>
        <w:tc>
          <w:tcPr>
            <w:tcW w:w="4860" w:type="dxa"/>
          </w:tcPr>
          <w:p w14:paraId="7F38887E" w14:textId="00630FDA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495" w:type="dxa"/>
          </w:tcPr>
          <w:p w14:paraId="36D94183" w14:textId="2773E01E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A01E63" w14:paraId="41650262" w14:textId="77777777" w:rsidTr="00615A2B">
        <w:trPr>
          <w:trHeight w:val="547"/>
        </w:trPr>
        <w:tc>
          <w:tcPr>
            <w:tcW w:w="4860" w:type="dxa"/>
          </w:tcPr>
          <w:p w14:paraId="18334FB7" w14:textId="34CF8468" w:rsidR="009F2A52" w:rsidRPr="00F23662" w:rsidRDefault="005D6A5F" w:rsidP="001F567C">
            <w:pPr>
              <w:pStyle w:val="ZT"/>
              <w:framePr w:wrap="auto" w:hAnchor="text" w:yAlign="inline"/>
              <w:jc w:val="left"/>
              <w:rPr>
                <w:rFonts w:eastAsia="Arial" w:cs="Arial"/>
                <w:b w:val="0"/>
                <w:sz w:val="16"/>
                <w:szCs w:val="16"/>
                <w:lang w:val="en-US"/>
              </w:rPr>
            </w:pPr>
            <w:r w:rsidRPr="00F23662">
              <w:rPr>
                <w:rFonts w:eastAsia="Arial" w:cs="Arial"/>
                <w:b w:val="0"/>
                <w:sz w:val="16"/>
                <w:szCs w:val="16"/>
                <w:lang w:val="en-US"/>
              </w:rPr>
              <w:t>3GPP TS 23.501</w:t>
            </w:r>
            <w:r w:rsidR="00F23662" w:rsidRPr="00F23662">
              <w:rPr>
                <w:rFonts w:eastAsia="Arial" w:cs="Arial"/>
                <w:b w:val="0"/>
                <w:sz w:val="16"/>
                <w:szCs w:val="16"/>
                <w:lang w:val="en-US"/>
              </w:rPr>
              <w:t xml:space="preserve"> “System architecture for the 5G System (5GS);</w:t>
            </w:r>
            <w:r w:rsidR="001F567C">
              <w:rPr>
                <w:rFonts w:eastAsia="Arial" w:cs="Arial"/>
                <w:b w:val="0"/>
                <w:sz w:val="16"/>
                <w:szCs w:val="16"/>
                <w:lang w:val="en-US"/>
              </w:rPr>
              <w:t xml:space="preserve"> </w:t>
            </w:r>
            <w:r w:rsidR="00F23662" w:rsidRPr="00F23662">
              <w:rPr>
                <w:rFonts w:eastAsia="Arial" w:cs="Arial"/>
                <w:b w:val="0"/>
                <w:sz w:val="16"/>
                <w:szCs w:val="16"/>
                <w:lang w:val="en-US"/>
              </w:rPr>
              <w:t>Stage 2</w:t>
            </w:r>
            <w:r w:rsidR="001F567C">
              <w:rPr>
                <w:rFonts w:eastAsia="Arial" w:cs="Arial"/>
                <w:b w:val="0"/>
                <w:sz w:val="16"/>
                <w:szCs w:val="16"/>
                <w:lang w:val="en-US"/>
              </w:rPr>
              <w:t xml:space="preserve"> </w:t>
            </w:r>
            <w:r w:rsidR="00F23662" w:rsidRPr="001F567C">
              <w:rPr>
                <w:rFonts w:eastAsia="Arial" w:cs="Arial"/>
                <w:b w:val="0"/>
                <w:sz w:val="16"/>
                <w:szCs w:val="16"/>
                <w:lang w:val="en-US"/>
              </w:rPr>
              <w:t>(Release 17)”</w:t>
            </w:r>
          </w:p>
        </w:tc>
        <w:tc>
          <w:tcPr>
            <w:tcW w:w="4495" w:type="dxa"/>
          </w:tcPr>
          <w:p w14:paraId="0385DC67" w14:textId="306E4330" w:rsidR="009F2A52" w:rsidRDefault="00B17B2E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B17B2E">
              <w:rPr>
                <w:sz w:val="22"/>
                <w:szCs w:val="22"/>
              </w:rPr>
              <w:t>https://www.3gpp.org/DynaReport/</w:t>
            </w:r>
            <w:r>
              <w:rPr>
                <w:sz w:val="22"/>
                <w:szCs w:val="22"/>
              </w:rPr>
              <w:t>23501</w:t>
            </w:r>
            <w:r w:rsidRPr="00B17B2E">
              <w:rPr>
                <w:sz w:val="22"/>
                <w:szCs w:val="22"/>
              </w:rPr>
              <w:t>.htm</w:t>
            </w:r>
          </w:p>
        </w:tc>
      </w:tr>
      <w:tr w:rsidR="00A01E63" w14:paraId="6EEDCE6F" w14:textId="77777777" w:rsidTr="00615A2B">
        <w:trPr>
          <w:trHeight w:val="268"/>
        </w:trPr>
        <w:tc>
          <w:tcPr>
            <w:tcW w:w="4860" w:type="dxa"/>
          </w:tcPr>
          <w:p w14:paraId="55C8356A" w14:textId="77777777" w:rsidR="002278A7" w:rsidRPr="00615A2B" w:rsidRDefault="00B17B2E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t xml:space="preserve">3GPP TS </w:t>
            </w:r>
            <w:commentRangeStart w:id="0"/>
            <w:commentRangeStart w:id="1"/>
            <w:commentRangeStart w:id="2"/>
            <w:r w:rsidRPr="00615A2B">
              <w:rPr>
                <w:rFonts w:ascii="Arial" w:eastAsia="Arial" w:hAnsi="Arial" w:cs="Arial"/>
                <w:sz w:val="16"/>
                <w:szCs w:val="16"/>
              </w:rPr>
              <w:t>23.558</w:t>
            </w:r>
            <w:commentRangeEnd w:id="0"/>
            <w:r w:rsidRPr="00615A2B">
              <w:rPr>
                <w:rFonts w:ascii="Arial" w:eastAsia="Arial" w:hAnsi="Arial" w:cs="Arial"/>
                <w:sz w:val="16"/>
                <w:szCs w:val="16"/>
              </w:rPr>
              <w:commentReference w:id="0"/>
            </w:r>
            <w:commentRangeEnd w:id="1"/>
            <w:r w:rsidR="00363D90" w:rsidRPr="00615A2B">
              <w:rPr>
                <w:rFonts w:ascii="Arial" w:eastAsia="Arial" w:hAnsi="Arial" w:cs="Arial"/>
                <w:sz w:val="16"/>
                <w:szCs w:val="16"/>
              </w:rPr>
              <w:commentReference w:id="1"/>
            </w:r>
            <w:commentRangeEnd w:id="2"/>
            <w:r w:rsidR="00FF0CC4" w:rsidRPr="00615A2B">
              <w:rPr>
                <w:rFonts w:ascii="Arial" w:eastAsia="Arial" w:hAnsi="Arial" w:cs="Arial"/>
                <w:sz w:val="16"/>
                <w:szCs w:val="16"/>
              </w:rPr>
              <w:commentReference w:id="2"/>
            </w:r>
            <w:r w:rsidR="002278A7" w:rsidRPr="00615A2B">
              <w:rPr>
                <w:rFonts w:ascii="Arial" w:eastAsia="Arial" w:hAnsi="Arial" w:cs="Arial"/>
                <w:sz w:val="16"/>
                <w:szCs w:val="16"/>
              </w:rPr>
              <w:t>: “</w:t>
            </w:r>
          </w:p>
          <w:p w14:paraId="2C55D717" w14:textId="49227DCA" w:rsidR="00B17B2E" w:rsidRPr="00615A2B" w:rsidRDefault="002278A7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t>Architecture for enabling Edge Applications”</w:t>
            </w:r>
          </w:p>
        </w:tc>
        <w:tc>
          <w:tcPr>
            <w:tcW w:w="4495" w:type="dxa"/>
          </w:tcPr>
          <w:p w14:paraId="7429494C" w14:textId="5C86FD46" w:rsidR="00B17B2E" w:rsidRPr="00615A2B" w:rsidRDefault="00B17B2E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t>https://www.3gpp.org/DynaReport/23558.htm</w:t>
            </w:r>
          </w:p>
        </w:tc>
      </w:tr>
      <w:tr w:rsidR="00A01E63" w14:paraId="5755B623" w14:textId="77777777" w:rsidTr="00615A2B">
        <w:trPr>
          <w:trHeight w:val="277"/>
        </w:trPr>
        <w:tc>
          <w:tcPr>
            <w:tcW w:w="4860" w:type="dxa"/>
          </w:tcPr>
          <w:p w14:paraId="1D54D408" w14:textId="660E265B" w:rsidR="00363D90" w:rsidRPr="00615A2B" w:rsidRDefault="00363D90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lastRenderedPageBreak/>
              <w:t>3GPP TS 23.548</w:t>
            </w:r>
            <w:r w:rsidR="005C3160" w:rsidRPr="00615A2B">
              <w:rPr>
                <w:rFonts w:ascii="Arial" w:eastAsia="Arial" w:hAnsi="Arial" w:cs="Arial"/>
                <w:sz w:val="16"/>
                <w:szCs w:val="16"/>
              </w:rPr>
              <w:t>: “</w:t>
            </w:r>
            <w:r w:rsidR="00A16F4F" w:rsidRPr="00615A2B">
              <w:rPr>
                <w:rFonts w:ascii="Arial" w:eastAsia="Arial" w:hAnsi="Arial" w:cs="Arial"/>
                <w:sz w:val="16"/>
                <w:szCs w:val="16"/>
              </w:rPr>
              <w:t>5G System Enhancements for Edge Computing; Stage 2”</w:t>
            </w:r>
          </w:p>
        </w:tc>
        <w:tc>
          <w:tcPr>
            <w:tcW w:w="4495" w:type="dxa"/>
          </w:tcPr>
          <w:p w14:paraId="5A570488" w14:textId="15A11339" w:rsidR="00363D90" w:rsidRPr="00615A2B" w:rsidRDefault="00363D90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t>https://www.3gpp.org/DynaReport/23548.htm</w:t>
            </w:r>
          </w:p>
        </w:tc>
      </w:tr>
      <w:tr w:rsidR="00A01E63" w14:paraId="1A2EAE77" w14:textId="77777777" w:rsidTr="00615A2B">
        <w:trPr>
          <w:trHeight w:val="815"/>
        </w:trPr>
        <w:tc>
          <w:tcPr>
            <w:tcW w:w="4860" w:type="dxa"/>
          </w:tcPr>
          <w:p w14:paraId="4D593E54" w14:textId="2D06B617" w:rsidR="008B0178" w:rsidRPr="00615A2B" w:rsidRDefault="008B0178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t>ETSI</w:t>
            </w:r>
            <w:r w:rsidR="00285E65" w:rsidRPr="00615A2B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="00540FEB" w:rsidRPr="00615A2B">
              <w:rPr>
                <w:rFonts w:ascii="Arial" w:eastAsia="Arial" w:hAnsi="Arial" w:cs="Arial"/>
                <w:sz w:val="16"/>
                <w:szCs w:val="16"/>
              </w:rPr>
              <w:t xml:space="preserve"> White Paper No. 28,</w:t>
            </w:r>
            <w:r w:rsidR="00285E65" w:rsidRPr="00615A2B">
              <w:rPr>
                <w:rFonts w:ascii="Arial" w:eastAsia="Arial" w:hAnsi="Arial" w:cs="Arial"/>
                <w:sz w:val="16"/>
                <w:szCs w:val="16"/>
              </w:rPr>
              <w:t xml:space="preserve"> “MEC in 5G</w:t>
            </w:r>
            <w:r w:rsidR="00540FEB" w:rsidRPr="00615A2B">
              <w:rPr>
                <w:rFonts w:ascii="Arial" w:eastAsia="Arial" w:hAnsi="Arial" w:cs="Arial"/>
                <w:sz w:val="16"/>
                <w:szCs w:val="16"/>
              </w:rPr>
              <w:t xml:space="preserve"> networks</w:t>
            </w:r>
            <w:r w:rsidR="00285E65" w:rsidRPr="00615A2B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495" w:type="dxa"/>
          </w:tcPr>
          <w:p w14:paraId="73B8F8D3" w14:textId="2036EB9B" w:rsidR="008B0178" w:rsidRPr="00615A2B" w:rsidRDefault="00285E65" w:rsidP="00615A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5A2B">
              <w:rPr>
                <w:rFonts w:ascii="Arial" w:eastAsia="Arial" w:hAnsi="Arial" w:cs="Arial"/>
                <w:sz w:val="16"/>
                <w:szCs w:val="16"/>
              </w:rPr>
              <w:t>https://www.etsi.org/images/files/ETSIWhitePapers/etsi_wp28_mec_in_5G_FINAL.pdf</w:t>
            </w:r>
          </w:p>
        </w:tc>
      </w:tr>
    </w:tbl>
    <w:p w14:paraId="4303CB1A" w14:textId="77777777" w:rsidR="009A3B8F" w:rsidRDefault="009A3B8F" w:rsidP="009C2D05">
      <w:pPr>
        <w:rPr>
          <w:sz w:val="22"/>
          <w:szCs w:val="22"/>
        </w:rPr>
      </w:pPr>
    </w:p>
    <w:p w14:paraId="2478CE66" w14:textId="5E29124B" w:rsidR="006F2F28" w:rsidRDefault="006F2F2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8-09T21:29:00Z" w:initials="MV">
    <w:p w14:paraId="7852EFC6" w14:textId="1F1088E0" w:rsidR="00B17B2E" w:rsidRDefault="00B17B2E" w:rsidP="00F90147">
      <w:pPr>
        <w:pStyle w:val="CommentText"/>
      </w:pPr>
      <w:r>
        <w:rPr>
          <w:rStyle w:val="CommentReference"/>
        </w:rPr>
        <w:annotationRef/>
      </w:r>
      <w:r>
        <w:t>TS 23.548 may be better, it's SA2 spec (architecture group), not SA6 (app layer group).</w:t>
      </w:r>
    </w:p>
  </w:comment>
  <w:comment w:id="1" w:author="Andy Radle" w:date="2022-08-10T10:26:00Z" w:initials="AR">
    <w:p w14:paraId="21565C7C" w14:textId="77777777" w:rsidR="00363D90" w:rsidRDefault="00363D90" w:rsidP="00DB6681">
      <w:pPr>
        <w:pStyle w:val="CommentText"/>
      </w:pPr>
      <w:r>
        <w:rPr>
          <w:rStyle w:val="CommentReference"/>
        </w:rPr>
        <w:annotationRef/>
      </w:r>
      <w:r>
        <w:t>It might be in addition.  There are the application use cases and the 5G core use cases.  Surajjt and I walked through parts of 23.558 and found it covered potential exposures of the core via NEF to applications hosted in MEC.</w:t>
      </w:r>
    </w:p>
  </w:comment>
  <w:comment w:id="2" w:author="Dr. Surajit Dey" w:date="2022-08-10T10:38:00Z" w:initials="DSD">
    <w:p w14:paraId="1C1677BD" w14:textId="77777777" w:rsidR="00FF0CC4" w:rsidRDefault="00FF0CC4">
      <w:pPr>
        <w:pStyle w:val="CommentText"/>
      </w:pPr>
      <w:r>
        <w:rPr>
          <w:rStyle w:val="CommentReference"/>
        </w:rPr>
        <w:annotationRef/>
      </w:r>
      <w:hyperlink r:id="rId1" w:history="1">
        <w:r w:rsidRPr="00960886">
          <w:rPr>
            <w:rStyle w:val="Hyperlink"/>
          </w:rPr>
          <w:t>https://www.etsi.org/images/files/ETSIWhitePapers/etsi_wp28_mec_in_5G_FINAL.pdf</w:t>
        </w:r>
      </w:hyperlink>
      <w:r>
        <w:t xml:space="preserve"> is also a good 5G MEC white paper. May want to add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52EFC6" w15:done="1"/>
  <w15:commentEx w15:paraId="21565C7C" w15:paraIdParent="7852EFC6" w15:done="1"/>
  <w15:commentEx w15:paraId="1C1677BD" w15:paraIdParent="7852EFC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5048" w16cex:dateUtc="2022-08-10T04:29:00Z"/>
  <w16cex:commentExtensible w16cex:durableId="269E0662" w16cex:dateUtc="2022-08-10T14:26:00Z"/>
  <w16cex:commentExtensible w16cex:durableId="269E0940" w16cex:dateUtc="2022-08-10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52EFC6" w16cid:durableId="269D5048"/>
  <w16cid:commentId w16cid:paraId="21565C7C" w16cid:durableId="269E0662"/>
  <w16cid:commentId w16cid:paraId="1C1677BD" w16cid:durableId="269E09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D8AC" w14:textId="77777777" w:rsidR="008F467D" w:rsidRDefault="008F467D" w:rsidP="00684328">
      <w:r>
        <w:separator/>
      </w:r>
    </w:p>
  </w:endnote>
  <w:endnote w:type="continuationSeparator" w:id="0">
    <w:p w14:paraId="5CA16589" w14:textId="77777777" w:rsidR="008F467D" w:rsidRDefault="008F467D" w:rsidP="00684328">
      <w:r>
        <w:continuationSeparator/>
      </w:r>
    </w:p>
  </w:endnote>
  <w:endnote w:type="continuationNotice" w:id="1">
    <w:p w14:paraId="29A8A8B0" w14:textId="77777777" w:rsidR="008F467D" w:rsidRDefault="008F4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0E5D" w14:textId="77777777" w:rsidR="008F467D" w:rsidRDefault="008F467D" w:rsidP="00684328">
      <w:r>
        <w:separator/>
      </w:r>
    </w:p>
  </w:footnote>
  <w:footnote w:type="continuationSeparator" w:id="0">
    <w:p w14:paraId="32C5B3E6" w14:textId="77777777" w:rsidR="008F467D" w:rsidRDefault="008F467D" w:rsidP="00684328">
      <w:r>
        <w:continuationSeparator/>
      </w:r>
    </w:p>
  </w:footnote>
  <w:footnote w:type="continuationNotice" w:id="1">
    <w:p w14:paraId="5EA7C3E6" w14:textId="77777777" w:rsidR="008F467D" w:rsidRDefault="008F467D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Andy Radle">
    <w15:presenceInfo w15:providerId="AD" w15:userId="S::ARADLE@MITRE.ORG::bbce1f03-021c-4375-90b4-ffa63a59b99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D11"/>
    <w:rsid w:val="00012812"/>
    <w:rsid w:val="000160C5"/>
    <w:rsid w:val="000160DD"/>
    <w:rsid w:val="00016F13"/>
    <w:rsid w:val="00020259"/>
    <w:rsid w:val="0002123E"/>
    <w:rsid w:val="000227C6"/>
    <w:rsid w:val="00023B84"/>
    <w:rsid w:val="0003387A"/>
    <w:rsid w:val="0003460D"/>
    <w:rsid w:val="00036760"/>
    <w:rsid w:val="00041684"/>
    <w:rsid w:val="00046138"/>
    <w:rsid w:val="00046F9B"/>
    <w:rsid w:val="00047624"/>
    <w:rsid w:val="00050DAF"/>
    <w:rsid w:val="00056984"/>
    <w:rsid w:val="00071885"/>
    <w:rsid w:val="0007391A"/>
    <w:rsid w:val="000820C2"/>
    <w:rsid w:val="00095BA5"/>
    <w:rsid w:val="000B401D"/>
    <w:rsid w:val="000E3E41"/>
    <w:rsid w:val="000E5EC0"/>
    <w:rsid w:val="000F1C22"/>
    <w:rsid w:val="000F3FE0"/>
    <w:rsid w:val="000F7575"/>
    <w:rsid w:val="00102859"/>
    <w:rsid w:val="001036B2"/>
    <w:rsid w:val="001036CC"/>
    <w:rsid w:val="00112ACC"/>
    <w:rsid w:val="00117D14"/>
    <w:rsid w:val="00121EAB"/>
    <w:rsid w:val="00122B07"/>
    <w:rsid w:val="00122B98"/>
    <w:rsid w:val="001256D8"/>
    <w:rsid w:val="001266C2"/>
    <w:rsid w:val="00131643"/>
    <w:rsid w:val="00133606"/>
    <w:rsid w:val="00136CB7"/>
    <w:rsid w:val="00140232"/>
    <w:rsid w:val="00146E94"/>
    <w:rsid w:val="00155339"/>
    <w:rsid w:val="0015573A"/>
    <w:rsid w:val="001559F6"/>
    <w:rsid w:val="00161564"/>
    <w:rsid w:val="00166765"/>
    <w:rsid w:val="0017483E"/>
    <w:rsid w:val="00175622"/>
    <w:rsid w:val="00182390"/>
    <w:rsid w:val="00194684"/>
    <w:rsid w:val="001A1941"/>
    <w:rsid w:val="001A5A73"/>
    <w:rsid w:val="001B2CF3"/>
    <w:rsid w:val="001B3955"/>
    <w:rsid w:val="001B6C23"/>
    <w:rsid w:val="001C277E"/>
    <w:rsid w:val="001D4725"/>
    <w:rsid w:val="001D656A"/>
    <w:rsid w:val="001E01B8"/>
    <w:rsid w:val="001E7602"/>
    <w:rsid w:val="001F04DA"/>
    <w:rsid w:val="001F567C"/>
    <w:rsid w:val="00207024"/>
    <w:rsid w:val="002125FC"/>
    <w:rsid w:val="00213376"/>
    <w:rsid w:val="0021640F"/>
    <w:rsid w:val="002278A7"/>
    <w:rsid w:val="00230047"/>
    <w:rsid w:val="002304E9"/>
    <w:rsid w:val="00234776"/>
    <w:rsid w:val="0024138D"/>
    <w:rsid w:val="0024341D"/>
    <w:rsid w:val="0024470B"/>
    <w:rsid w:val="00261A52"/>
    <w:rsid w:val="00267D4E"/>
    <w:rsid w:val="002732FD"/>
    <w:rsid w:val="00273EDE"/>
    <w:rsid w:val="00276C95"/>
    <w:rsid w:val="00285E65"/>
    <w:rsid w:val="00294FFC"/>
    <w:rsid w:val="002A0C56"/>
    <w:rsid w:val="002B03B3"/>
    <w:rsid w:val="002B0434"/>
    <w:rsid w:val="002B4A3B"/>
    <w:rsid w:val="002C3F37"/>
    <w:rsid w:val="002C4862"/>
    <w:rsid w:val="002D7FFC"/>
    <w:rsid w:val="002E206E"/>
    <w:rsid w:val="002E3FF6"/>
    <w:rsid w:val="002E6757"/>
    <w:rsid w:val="002E6E4A"/>
    <w:rsid w:val="002F3081"/>
    <w:rsid w:val="002F3684"/>
    <w:rsid w:val="002F64BB"/>
    <w:rsid w:val="003021C6"/>
    <w:rsid w:val="0030258D"/>
    <w:rsid w:val="0030665F"/>
    <w:rsid w:val="003119C3"/>
    <w:rsid w:val="0031599A"/>
    <w:rsid w:val="00327911"/>
    <w:rsid w:val="00333F42"/>
    <w:rsid w:val="00334BE4"/>
    <w:rsid w:val="003354E1"/>
    <w:rsid w:val="00342DF6"/>
    <w:rsid w:val="003442D5"/>
    <w:rsid w:val="00344E77"/>
    <w:rsid w:val="003605AB"/>
    <w:rsid w:val="00363D90"/>
    <w:rsid w:val="00373469"/>
    <w:rsid w:val="00392F67"/>
    <w:rsid w:val="003C184C"/>
    <w:rsid w:val="003C51F1"/>
    <w:rsid w:val="003D0811"/>
    <w:rsid w:val="003D6861"/>
    <w:rsid w:val="003F4A2F"/>
    <w:rsid w:val="00400AB5"/>
    <w:rsid w:val="004017FA"/>
    <w:rsid w:val="00402818"/>
    <w:rsid w:val="00402DA4"/>
    <w:rsid w:val="004071BD"/>
    <w:rsid w:val="004108C6"/>
    <w:rsid w:val="004203B9"/>
    <w:rsid w:val="004372D8"/>
    <w:rsid w:val="0044224A"/>
    <w:rsid w:val="00446E1E"/>
    <w:rsid w:val="00466197"/>
    <w:rsid w:val="00472AC1"/>
    <w:rsid w:val="00477219"/>
    <w:rsid w:val="00483DE2"/>
    <w:rsid w:val="00486EB3"/>
    <w:rsid w:val="00495FD7"/>
    <w:rsid w:val="004A207A"/>
    <w:rsid w:val="004A3076"/>
    <w:rsid w:val="004A4582"/>
    <w:rsid w:val="004A4B7A"/>
    <w:rsid w:val="004A76DF"/>
    <w:rsid w:val="004C3682"/>
    <w:rsid w:val="004C48B1"/>
    <w:rsid w:val="004C6F5B"/>
    <w:rsid w:val="004C71F3"/>
    <w:rsid w:val="004D0503"/>
    <w:rsid w:val="004D0C51"/>
    <w:rsid w:val="004D5219"/>
    <w:rsid w:val="004E68DA"/>
    <w:rsid w:val="005044B9"/>
    <w:rsid w:val="00506230"/>
    <w:rsid w:val="005071A3"/>
    <w:rsid w:val="00521C31"/>
    <w:rsid w:val="00534FB0"/>
    <w:rsid w:val="00540FEB"/>
    <w:rsid w:val="00541165"/>
    <w:rsid w:val="00543ACB"/>
    <w:rsid w:val="005522E2"/>
    <w:rsid w:val="005561EE"/>
    <w:rsid w:val="00563136"/>
    <w:rsid w:val="005648EF"/>
    <w:rsid w:val="00567BC0"/>
    <w:rsid w:val="0058328E"/>
    <w:rsid w:val="00594C66"/>
    <w:rsid w:val="00595F29"/>
    <w:rsid w:val="005C20B9"/>
    <w:rsid w:val="005C3160"/>
    <w:rsid w:val="005C6BF8"/>
    <w:rsid w:val="005D0DC2"/>
    <w:rsid w:val="005D6A5F"/>
    <w:rsid w:val="005E17C0"/>
    <w:rsid w:val="005E5C44"/>
    <w:rsid w:val="005E7EF2"/>
    <w:rsid w:val="0061115D"/>
    <w:rsid w:val="00614601"/>
    <w:rsid w:val="00615A2B"/>
    <w:rsid w:val="0061635D"/>
    <w:rsid w:val="006276C3"/>
    <w:rsid w:val="00632D7E"/>
    <w:rsid w:val="00641720"/>
    <w:rsid w:val="0064279D"/>
    <w:rsid w:val="00642EA0"/>
    <w:rsid w:val="00651E89"/>
    <w:rsid w:val="00654FCF"/>
    <w:rsid w:val="00655C5B"/>
    <w:rsid w:val="00660D47"/>
    <w:rsid w:val="0066113C"/>
    <w:rsid w:val="00675D7B"/>
    <w:rsid w:val="00680BAC"/>
    <w:rsid w:val="00682755"/>
    <w:rsid w:val="00683CA7"/>
    <w:rsid w:val="00684328"/>
    <w:rsid w:val="00687EAE"/>
    <w:rsid w:val="00691E96"/>
    <w:rsid w:val="006A38A0"/>
    <w:rsid w:val="006A59CF"/>
    <w:rsid w:val="006A76AA"/>
    <w:rsid w:val="006B1DB0"/>
    <w:rsid w:val="006B400E"/>
    <w:rsid w:val="006C3194"/>
    <w:rsid w:val="006D7732"/>
    <w:rsid w:val="006E120C"/>
    <w:rsid w:val="006E12AB"/>
    <w:rsid w:val="006E2F2D"/>
    <w:rsid w:val="006F2F28"/>
    <w:rsid w:val="006F4FA3"/>
    <w:rsid w:val="007001DA"/>
    <w:rsid w:val="00702DC9"/>
    <w:rsid w:val="00703813"/>
    <w:rsid w:val="00711A2D"/>
    <w:rsid w:val="0071530B"/>
    <w:rsid w:val="007160DA"/>
    <w:rsid w:val="007273BE"/>
    <w:rsid w:val="0073644D"/>
    <w:rsid w:val="00737CE7"/>
    <w:rsid w:val="00742AB7"/>
    <w:rsid w:val="00742C55"/>
    <w:rsid w:val="00750B36"/>
    <w:rsid w:val="00756A20"/>
    <w:rsid w:val="00756FA2"/>
    <w:rsid w:val="00764455"/>
    <w:rsid w:val="00774781"/>
    <w:rsid w:val="00780B11"/>
    <w:rsid w:val="007B0304"/>
    <w:rsid w:val="007B1038"/>
    <w:rsid w:val="007B5448"/>
    <w:rsid w:val="007B5C61"/>
    <w:rsid w:val="007C087F"/>
    <w:rsid w:val="007C12D2"/>
    <w:rsid w:val="007C6E0D"/>
    <w:rsid w:val="007D3EC5"/>
    <w:rsid w:val="007D50FA"/>
    <w:rsid w:val="007D77FF"/>
    <w:rsid w:val="007E0A79"/>
    <w:rsid w:val="007E6B5D"/>
    <w:rsid w:val="007F2091"/>
    <w:rsid w:val="007F4A65"/>
    <w:rsid w:val="00800210"/>
    <w:rsid w:val="00804D03"/>
    <w:rsid w:val="00820E03"/>
    <w:rsid w:val="0082392D"/>
    <w:rsid w:val="008245F3"/>
    <w:rsid w:val="00854D83"/>
    <w:rsid w:val="008604CF"/>
    <w:rsid w:val="008655FC"/>
    <w:rsid w:val="00865900"/>
    <w:rsid w:val="0088147E"/>
    <w:rsid w:val="00882829"/>
    <w:rsid w:val="0088718D"/>
    <w:rsid w:val="00890D55"/>
    <w:rsid w:val="00891A61"/>
    <w:rsid w:val="008973ED"/>
    <w:rsid w:val="008A18BB"/>
    <w:rsid w:val="008A2FE1"/>
    <w:rsid w:val="008B0178"/>
    <w:rsid w:val="008B450E"/>
    <w:rsid w:val="008B5F90"/>
    <w:rsid w:val="008C47D0"/>
    <w:rsid w:val="008C6EC7"/>
    <w:rsid w:val="008D4473"/>
    <w:rsid w:val="008E2432"/>
    <w:rsid w:val="008E2CA2"/>
    <w:rsid w:val="008F1682"/>
    <w:rsid w:val="008F467D"/>
    <w:rsid w:val="008F7C1F"/>
    <w:rsid w:val="00900063"/>
    <w:rsid w:val="0090158D"/>
    <w:rsid w:val="00901A3F"/>
    <w:rsid w:val="00906E7E"/>
    <w:rsid w:val="00911C90"/>
    <w:rsid w:val="00917049"/>
    <w:rsid w:val="00920A2F"/>
    <w:rsid w:val="00922A49"/>
    <w:rsid w:val="00926A04"/>
    <w:rsid w:val="00935BFC"/>
    <w:rsid w:val="00943D98"/>
    <w:rsid w:val="00950B69"/>
    <w:rsid w:val="00952480"/>
    <w:rsid w:val="00954ABB"/>
    <w:rsid w:val="00960D3D"/>
    <w:rsid w:val="00965822"/>
    <w:rsid w:val="009833CC"/>
    <w:rsid w:val="00996000"/>
    <w:rsid w:val="009A351F"/>
    <w:rsid w:val="009A3B8F"/>
    <w:rsid w:val="009A3E22"/>
    <w:rsid w:val="009A5DB1"/>
    <w:rsid w:val="009A647D"/>
    <w:rsid w:val="009A763B"/>
    <w:rsid w:val="009B6C84"/>
    <w:rsid w:val="009C2D05"/>
    <w:rsid w:val="009D1F25"/>
    <w:rsid w:val="009D34D0"/>
    <w:rsid w:val="009E529D"/>
    <w:rsid w:val="009F2A52"/>
    <w:rsid w:val="009F4A04"/>
    <w:rsid w:val="009F598A"/>
    <w:rsid w:val="00A01E63"/>
    <w:rsid w:val="00A02679"/>
    <w:rsid w:val="00A058D3"/>
    <w:rsid w:val="00A05A0C"/>
    <w:rsid w:val="00A151F0"/>
    <w:rsid w:val="00A16F4F"/>
    <w:rsid w:val="00A20822"/>
    <w:rsid w:val="00A23F8C"/>
    <w:rsid w:val="00A24811"/>
    <w:rsid w:val="00A41B9F"/>
    <w:rsid w:val="00A43508"/>
    <w:rsid w:val="00A43884"/>
    <w:rsid w:val="00A43BE7"/>
    <w:rsid w:val="00A45709"/>
    <w:rsid w:val="00A54761"/>
    <w:rsid w:val="00A61C28"/>
    <w:rsid w:val="00A641AE"/>
    <w:rsid w:val="00A6505C"/>
    <w:rsid w:val="00A80234"/>
    <w:rsid w:val="00A84819"/>
    <w:rsid w:val="00A878F7"/>
    <w:rsid w:val="00A94926"/>
    <w:rsid w:val="00A9611C"/>
    <w:rsid w:val="00A970ED"/>
    <w:rsid w:val="00A97531"/>
    <w:rsid w:val="00AA28A4"/>
    <w:rsid w:val="00AB004E"/>
    <w:rsid w:val="00AB5E23"/>
    <w:rsid w:val="00AC50DF"/>
    <w:rsid w:val="00AC6799"/>
    <w:rsid w:val="00AC729C"/>
    <w:rsid w:val="00AD358B"/>
    <w:rsid w:val="00AE5EC5"/>
    <w:rsid w:val="00AF06DC"/>
    <w:rsid w:val="00AF15A3"/>
    <w:rsid w:val="00AF2A1B"/>
    <w:rsid w:val="00B119A9"/>
    <w:rsid w:val="00B147F1"/>
    <w:rsid w:val="00B16654"/>
    <w:rsid w:val="00B17B2E"/>
    <w:rsid w:val="00B204B6"/>
    <w:rsid w:val="00B45D0F"/>
    <w:rsid w:val="00B5741D"/>
    <w:rsid w:val="00B626C7"/>
    <w:rsid w:val="00B64733"/>
    <w:rsid w:val="00B70D5E"/>
    <w:rsid w:val="00B71B9D"/>
    <w:rsid w:val="00B7479A"/>
    <w:rsid w:val="00B76354"/>
    <w:rsid w:val="00B87055"/>
    <w:rsid w:val="00B905FC"/>
    <w:rsid w:val="00B92366"/>
    <w:rsid w:val="00B973B4"/>
    <w:rsid w:val="00B97986"/>
    <w:rsid w:val="00BA02E2"/>
    <w:rsid w:val="00BA2D65"/>
    <w:rsid w:val="00BA68D0"/>
    <w:rsid w:val="00BA7BC6"/>
    <w:rsid w:val="00BB0650"/>
    <w:rsid w:val="00BC1696"/>
    <w:rsid w:val="00BC7E10"/>
    <w:rsid w:val="00BD60A6"/>
    <w:rsid w:val="00BD75E7"/>
    <w:rsid w:val="00BE61CA"/>
    <w:rsid w:val="00C06149"/>
    <w:rsid w:val="00C16441"/>
    <w:rsid w:val="00C22712"/>
    <w:rsid w:val="00C32DF4"/>
    <w:rsid w:val="00C33256"/>
    <w:rsid w:val="00C605AB"/>
    <w:rsid w:val="00C72FF5"/>
    <w:rsid w:val="00C74193"/>
    <w:rsid w:val="00C77131"/>
    <w:rsid w:val="00C94C77"/>
    <w:rsid w:val="00C9758F"/>
    <w:rsid w:val="00C97A7C"/>
    <w:rsid w:val="00CA13AC"/>
    <w:rsid w:val="00CA147E"/>
    <w:rsid w:val="00CA5290"/>
    <w:rsid w:val="00CB73D0"/>
    <w:rsid w:val="00CC217C"/>
    <w:rsid w:val="00CD2293"/>
    <w:rsid w:val="00CD2657"/>
    <w:rsid w:val="00CD337C"/>
    <w:rsid w:val="00CD3535"/>
    <w:rsid w:val="00CE7BD7"/>
    <w:rsid w:val="00CF0149"/>
    <w:rsid w:val="00CF3620"/>
    <w:rsid w:val="00D00D69"/>
    <w:rsid w:val="00D106E9"/>
    <w:rsid w:val="00D12B5F"/>
    <w:rsid w:val="00D13864"/>
    <w:rsid w:val="00D2209F"/>
    <w:rsid w:val="00D22F03"/>
    <w:rsid w:val="00D24AD7"/>
    <w:rsid w:val="00D33112"/>
    <w:rsid w:val="00D44B40"/>
    <w:rsid w:val="00D479EA"/>
    <w:rsid w:val="00D52A4E"/>
    <w:rsid w:val="00D65606"/>
    <w:rsid w:val="00D7138A"/>
    <w:rsid w:val="00D859D2"/>
    <w:rsid w:val="00D93A77"/>
    <w:rsid w:val="00D977F8"/>
    <w:rsid w:val="00DA1E92"/>
    <w:rsid w:val="00DA7B57"/>
    <w:rsid w:val="00DA7D53"/>
    <w:rsid w:val="00DC2E6C"/>
    <w:rsid w:val="00DD0F97"/>
    <w:rsid w:val="00DF00DF"/>
    <w:rsid w:val="00E030EB"/>
    <w:rsid w:val="00E1076A"/>
    <w:rsid w:val="00E12BEF"/>
    <w:rsid w:val="00E216BF"/>
    <w:rsid w:val="00E32AE0"/>
    <w:rsid w:val="00E33E61"/>
    <w:rsid w:val="00E35784"/>
    <w:rsid w:val="00E35835"/>
    <w:rsid w:val="00E410E7"/>
    <w:rsid w:val="00E41EC7"/>
    <w:rsid w:val="00E435E4"/>
    <w:rsid w:val="00E44782"/>
    <w:rsid w:val="00E44921"/>
    <w:rsid w:val="00E46C36"/>
    <w:rsid w:val="00E53BBB"/>
    <w:rsid w:val="00E7144D"/>
    <w:rsid w:val="00E77198"/>
    <w:rsid w:val="00E858AD"/>
    <w:rsid w:val="00E85D5F"/>
    <w:rsid w:val="00E85EA6"/>
    <w:rsid w:val="00E87705"/>
    <w:rsid w:val="00E955C9"/>
    <w:rsid w:val="00E96896"/>
    <w:rsid w:val="00EA277C"/>
    <w:rsid w:val="00EB1E34"/>
    <w:rsid w:val="00EB3406"/>
    <w:rsid w:val="00EB45B4"/>
    <w:rsid w:val="00EB6DC6"/>
    <w:rsid w:val="00EC20A3"/>
    <w:rsid w:val="00EC3652"/>
    <w:rsid w:val="00EC789A"/>
    <w:rsid w:val="00EE476F"/>
    <w:rsid w:val="00EE4887"/>
    <w:rsid w:val="00EF1FC0"/>
    <w:rsid w:val="00F04B34"/>
    <w:rsid w:val="00F053D9"/>
    <w:rsid w:val="00F10FB8"/>
    <w:rsid w:val="00F14288"/>
    <w:rsid w:val="00F149D8"/>
    <w:rsid w:val="00F1771F"/>
    <w:rsid w:val="00F23662"/>
    <w:rsid w:val="00F236E6"/>
    <w:rsid w:val="00F236F9"/>
    <w:rsid w:val="00F322C0"/>
    <w:rsid w:val="00F406A5"/>
    <w:rsid w:val="00F44117"/>
    <w:rsid w:val="00F55615"/>
    <w:rsid w:val="00F64EE8"/>
    <w:rsid w:val="00F67BD1"/>
    <w:rsid w:val="00F71268"/>
    <w:rsid w:val="00F75C35"/>
    <w:rsid w:val="00F76D0B"/>
    <w:rsid w:val="00F81578"/>
    <w:rsid w:val="00F84DE1"/>
    <w:rsid w:val="00FA25B0"/>
    <w:rsid w:val="00FA28C1"/>
    <w:rsid w:val="00FA6D1A"/>
    <w:rsid w:val="00FA6D94"/>
    <w:rsid w:val="00FA74A9"/>
    <w:rsid w:val="00FB54C2"/>
    <w:rsid w:val="00FC061C"/>
    <w:rsid w:val="00FC3DA8"/>
    <w:rsid w:val="00FC7951"/>
    <w:rsid w:val="00FC7974"/>
    <w:rsid w:val="00FD0D84"/>
    <w:rsid w:val="00FD3FB6"/>
    <w:rsid w:val="00FE1D5B"/>
    <w:rsid w:val="00FE34C9"/>
    <w:rsid w:val="00FF0CC4"/>
    <w:rsid w:val="00FF2800"/>
    <w:rsid w:val="00FF350A"/>
    <w:rsid w:val="00FF4ECF"/>
    <w:rsid w:val="0272C9E8"/>
    <w:rsid w:val="02DD56C8"/>
    <w:rsid w:val="055343C9"/>
    <w:rsid w:val="0614F78A"/>
    <w:rsid w:val="07561C29"/>
    <w:rsid w:val="0812B627"/>
    <w:rsid w:val="0F4A1830"/>
    <w:rsid w:val="121B3D24"/>
    <w:rsid w:val="14BAED61"/>
    <w:rsid w:val="16410265"/>
    <w:rsid w:val="1A8E3BE7"/>
    <w:rsid w:val="21D40D08"/>
    <w:rsid w:val="25402414"/>
    <w:rsid w:val="25900B44"/>
    <w:rsid w:val="2CEB8C05"/>
    <w:rsid w:val="30351359"/>
    <w:rsid w:val="3224D91A"/>
    <w:rsid w:val="37CE983E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6E843E8"/>
    <w:rsid w:val="6757BB57"/>
    <w:rsid w:val="6850B236"/>
    <w:rsid w:val="717C8B7B"/>
    <w:rsid w:val="72306066"/>
    <w:rsid w:val="728E2306"/>
    <w:rsid w:val="72C275E4"/>
    <w:rsid w:val="771ABF0E"/>
    <w:rsid w:val="78666845"/>
    <w:rsid w:val="7B5C7714"/>
    <w:rsid w:val="7EB9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customStyle="1" w:styleId="cf01">
    <w:name w:val="cf01"/>
    <w:basedOn w:val="DefaultParagraphFont"/>
    <w:rsid w:val="001B2CF3"/>
    <w:rPr>
      <w:rFonts w:ascii="Segoe UI" w:hAnsi="Segoe UI" w:cs="Segoe UI" w:hint="default"/>
      <w:sz w:val="18"/>
      <w:szCs w:val="18"/>
    </w:rPr>
  </w:style>
  <w:style w:type="character" w:customStyle="1" w:styleId="ZGSM">
    <w:name w:val="ZGSM"/>
    <w:rsid w:val="00F23662"/>
  </w:style>
  <w:style w:type="paragraph" w:customStyle="1" w:styleId="ZT">
    <w:name w:val="ZT"/>
    <w:rsid w:val="00F23662"/>
    <w:pPr>
      <w:framePr w:wrap="notBeside" w:hAnchor="margin" w:yAlign="center"/>
      <w:widowControl w:val="0"/>
      <w:spacing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2D7FF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tsi.org/images/files/ETSIWhitePapers/etsi_wp28_mec_in_5G_FINAL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0B979F-2828-4508-A8AD-791408C1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purl.org/dc/elements/1.1/"/>
    <ds:schemaRef ds:uri="b301dc1f-765b-48ad-b892-df54f4ee939f"/>
    <ds:schemaRef ds:uri="b5a44311-ed64-4a72-909f-c9dc6973bde2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0f673578-062f-42cf-8580-49b16be5d89d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Links>
    <vt:vector size="6" baseType="variant">
      <vt:variant>
        <vt:i4>1769589</vt:i4>
      </vt:variant>
      <vt:variant>
        <vt:i4>0</vt:i4>
      </vt:variant>
      <vt:variant>
        <vt:i4>0</vt:i4>
      </vt:variant>
      <vt:variant>
        <vt:i4>5</vt:i4>
      </vt:variant>
      <vt:variant>
        <vt:lpwstr>https://www.etsi.org/images/files/ETSIWhitePapers/etsi_wp28_mec_in_5G_FINAL.pdf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2</cp:revision>
  <cp:lastPrinted>2022-05-12T17:47:00Z</cp:lastPrinted>
  <dcterms:created xsi:type="dcterms:W3CDTF">2023-07-20T20:01:00Z</dcterms:created>
  <dcterms:modified xsi:type="dcterms:W3CDTF">2023-07-20T20:01:00Z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