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DDCF1DD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</w:t>
      </w:r>
      <w:r w:rsidR="00941EDC">
        <w:rPr>
          <w:rFonts w:ascii="Arial" w:eastAsia="Arial" w:hAnsi="Arial" w:cs="Arial"/>
          <w:sz w:val="44"/>
          <w:szCs w:val="44"/>
        </w:rPr>
        <w:t xml:space="preserve">499 </w:t>
      </w:r>
      <w:r w:rsidR="00213738">
        <w:rPr>
          <w:rFonts w:ascii="Arial" w:eastAsia="Arial" w:hAnsi="Arial" w:cs="Arial"/>
          <w:sz w:val="44"/>
          <w:szCs w:val="44"/>
        </w:rPr>
        <w:t xml:space="preserve">Public Function </w:t>
      </w:r>
      <w:r w:rsidR="00941EDC">
        <w:rPr>
          <w:rFonts w:ascii="Arial" w:eastAsia="Arial" w:hAnsi="Arial" w:cs="Arial"/>
          <w:sz w:val="44"/>
          <w:szCs w:val="44"/>
        </w:rPr>
        <w:t>Denial of Service</w:t>
      </w:r>
    </w:p>
    <w:p w14:paraId="2DFA445B" w14:textId="6FCAA8BA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An adversary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 </w:t>
      </w:r>
      <w:commentRangeStart w:id="0"/>
      <w:r w:rsidR="005B25A4">
        <w:rPr>
          <w:rFonts w:ascii="Arial" w:eastAsia="Arial" w:hAnsi="Arial" w:cs="Arial"/>
        </w:rPr>
        <w:t>public</w:t>
      </w:r>
      <w:commentRangeEnd w:id="0"/>
      <w:r w:rsidR="00152218">
        <w:rPr>
          <w:rStyle w:val="CommentReference"/>
        </w:rPr>
        <w:commentReference w:id="0"/>
      </w:r>
      <w:r w:rsidR="005B25A4">
        <w:rPr>
          <w:rFonts w:ascii="Arial" w:eastAsia="Arial" w:hAnsi="Arial" w:cs="Arial"/>
        </w:rPr>
        <w:t xml:space="preserve">, </w:t>
      </w:r>
      <w:proofErr w:type="gramStart"/>
      <w:r w:rsidR="005B25A4">
        <w:rPr>
          <w:rFonts w:ascii="Arial" w:eastAsia="Arial" w:hAnsi="Arial" w:cs="Arial"/>
        </w:rPr>
        <w:t>i.e.</w:t>
      </w:r>
      <w:proofErr w:type="gramEnd"/>
      <w:r w:rsidR="005B25A4">
        <w:rPr>
          <w:rFonts w:ascii="Arial" w:eastAsia="Arial" w:hAnsi="Arial" w:cs="Arial"/>
        </w:rPr>
        <w:t xml:space="preserve"> Internet </w:t>
      </w:r>
      <w:r w:rsidR="00E779C0" w:rsidRPr="00E779C0">
        <w:rPr>
          <w:rFonts w:ascii="Arial" w:eastAsia="Arial" w:hAnsi="Arial" w:cs="Arial"/>
        </w:rPr>
        <w:t xml:space="preserve">which </w:t>
      </w:r>
      <w:r w:rsidR="005B25A4">
        <w:rPr>
          <w:rFonts w:ascii="Arial" w:eastAsia="Arial" w:hAnsi="Arial" w:cs="Arial"/>
        </w:rPr>
        <w:t>exposes those functions</w:t>
      </w:r>
      <w:r w:rsidR="00A55E20">
        <w:rPr>
          <w:rFonts w:ascii="Arial" w:eastAsia="Arial" w:hAnsi="Arial" w:cs="Arial"/>
        </w:rPr>
        <w:t xml:space="preserve"> to</w:t>
      </w:r>
      <w:r w:rsidR="007D5AAA">
        <w:rPr>
          <w:rFonts w:ascii="Arial" w:eastAsia="Arial" w:hAnsi="Arial" w:cs="Arial"/>
        </w:rPr>
        <w:t xml:space="preserve"> </w:t>
      </w:r>
      <w:r w:rsidR="005B25A4">
        <w:rPr>
          <w:rFonts w:ascii="Arial" w:eastAsia="Arial" w:hAnsi="Arial" w:cs="Arial"/>
        </w:rPr>
        <w:t xml:space="preserve">potential </w:t>
      </w:r>
      <w:r w:rsidR="00FF555C">
        <w:rPr>
          <w:rFonts w:ascii="Arial" w:eastAsia="Arial" w:hAnsi="Arial" w:cs="Arial"/>
        </w:rPr>
        <w:t>adversary</w:t>
      </w:r>
      <w:r w:rsidR="00BA53AD">
        <w:rPr>
          <w:rFonts w:ascii="Arial" w:eastAsia="Arial" w:hAnsi="Arial" w:cs="Arial"/>
        </w:rPr>
        <w:t xml:space="preserve"> </w:t>
      </w:r>
      <w:r w:rsidR="00941EDC">
        <w:rPr>
          <w:rFonts w:ascii="Arial" w:eastAsia="Arial" w:hAnsi="Arial" w:cs="Arial"/>
        </w:rPr>
        <w:t>denial of service</w:t>
      </w:r>
      <w:r w:rsidR="00FF555C">
        <w:rPr>
          <w:rFonts w:ascii="Arial" w:eastAsia="Arial" w:hAnsi="Arial" w:cs="Arial"/>
        </w:rPr>
        <w:t xml:space="preserve"> of the NF</w:t>
      </w:r>
      <w:r w:rsidR="00941EDC">
        <w:rPr>
          <w:rFonts w:ascii="Arial" w:eastAsia="Arial" w:hAnsi="Arial" w:cs="Arial"/>
        </w:rPr>
        <w:t>.</w:t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3344065E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NEF have API’s that are public facing and </w:t>
      </w:r>
      <w:r w:rsidR="00C953BD">
        <w:rPr>
          <w:rFonts w:ascii="Arial" w:eastAsia="Arial" w:hAnsi="Arial" w:cs="Arial"/>
        </w:rPr>
        <w:t>are subject to potential exploit by adversaries similarly to public facing websites and services.</w:t>
      </w:r>
      <w:r w:rsidR="00B6477F">
        <w:rPr>
          <w:rFonts w:ascii="Arial" w:eastAsia="Arial" w:hAnsi="Arial" w:cs="Arial"/>
        </w:rPr>
        <w:t xml:space="preserve"> The adversary could exploit a previously identified weakness in the API to </w:t>
      </w:r>
      <w:r w:rsidR="00941EDC">
        <w:rPr>
          <w:rFonts w:ascii="Arial" w:eastAsia="Arial" w:hAnsi="Arial" w:cs="Arial"/>
        </w:rPr>
        <w:t>cause the NF to crash resulting in denial of service</w:t>
      </w:r>
      <w:r w:rsidR="00B6477F">
        <w:rPr>
          <w:rFonts w:ascii="Arial" w:eastAsia="Arial" w:hAnsi="Arial" w:cs="Arial"/>
        </w:rPr>
        <w:t>. The</w:t>
      </w:r>
      <w:r w:rsidR="005564ED">
        <w:rPr>
          <w:rFonts w:ascii="Arial" w:eastAsia="Arial" w:hAnsi="Arial" w:cs="Arial"/>
        </w:rPr>
        <w:t xml:space="preserve"> adversary may also </w:t>
      </w:r>
      <w:r w:rsidR="00941EDC">
        <w:rPr>
          <w:rFonts w:ascii="Arial" w:eastAsia="Arial" w:hAnsi="Arial" w:cs="Arial"/>
        </w:rPr>
        <w:t>potentially use volumetric techniques to degrade or deny service</w:t>
      </w:r>
      <w:r w:rsidR="00175DA5">
        <w:rPr>
          <w:rFonts w:ascii="Arial" w:eastAsia="Arial" w:hAnsi="Arial" w:cs="Arial"/>
        </w:rPr>
        <w:t>.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1CACE26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41EDC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72A79E1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proofErr w:type="gramStart"/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>:</w:t>
      </w:r>
      <w:proofErr w:type="gramEnd"/>
      <w:r>
        <w:rPr>
          <w:rFonts w:ascii="Arial" w:eastAsia="Arial" w:hAnsi="Arial" w:cs="Arial"/>
          <w:lang w:val="fr-FR"/>
        </w:rPr>
        <w:t xml:space="preserve">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05741038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0DE8B7F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2"/>
      <w:r w:rsidR="2CEB8C05" w:rsidRPr="1C4C7F6E">
        <w:rPr>
          <w:rFonts w:ascii="Arial" w:eastAsia="Arial" w:hAnsi="Arial" w:cs="Arial"/>
        </w:rPr>
        <w:t>Examples</w:t>
      </w:r>
      <w:commentRangeEnd w:id="2"/>
      <w:r>
        <w:rPr>
          <w:rStyle w:val="CommentReference"/>
        </w:rPr>
        <w:commentReference w:id="2"/>
      </w:r>
      <w:r w:rsidR="00402DA4" w:rsidRPr="1C4C7F6E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28CE642C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Vulnerability Exploit</w:t>
            </w:r>
          </w:p>
        </w:tc>
        <w:tc>
          <w:tcPr>
            <w:tcW w:w="4680" w:type="dxa"/>
          </w:tcPr>
          <w:p w14:paraId="61F3E004" w14:textId="383F8B4D" w:rsidR="00B3126A" w:rsidRPr="00E9179B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 vulnerability to cause the NF to crash</w:t>
            </w: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3AFC0A8E" w:rsidR="004B0C0F" w:rsidRPr="0017538D" w:rsidRDefault="00941EDC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Volumetric attack</w:t>
            </w:r>
          </w:p>
        </w:tc>
        <w:tc>
          <w:tcPr>
            <w:tcW w:w="4680" w:type="dxa"/>
          </w:tcPr>
          <w:p w14:paraId="28DD76D2" w14:textId="3D58BA37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uses </w:t>
            </w:r>
            <w:r w:rsidR="00D81B66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one or more volumetric techniques to degrade or deny availability of the NF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76162E84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 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 to minimize potential exploit of vulnerabilities</w:t>
            </w:r>
          </w:p>
        </w:tc>
      </w:tr>
      <w:tr w:rsidR="00BA53AD" w:rsidRPr="009C2D05" w14:paraId="1E5E7630" w14:textId="77777777" w:rsidTr="25900B44">
        <w:tc>
          <w:tcPr>
            <w:tcW w:w="4680" w:type="dxa"/>
          </w:tcPr>
          <w:p w14:paraId="45AD1EF0" w14:textId="68A84161" w:rsidR="00BA53AD" w:rsidRPr="002B7432" w:rsidRDefault="00302351" w:rsidP="009943A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1D88A63F" w14:textId="6A45F8ED" w:rsidR="00BA53AD" w:rsidRPr="002B7432" w:rsidRDefault="0030235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of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network based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DDoS mitigation capabilities to </w:t>
            </w:r>
            <w:r w:rsidR="000F3E3C">
              <w:rPr>
                <w:rFonts w:ascii="Arial" w:eastAsia="Arial" w:hAnsi="Arial" w:cs="Arial"/>
                <w:sz w:val="16"/>
                <w:szCs w:val="16"/>
              </w:rPr>
              <w:t>filter traffic upstream</w:t>
            </w:r>
          </w:p>
        </w:tc>
      </w:tr>
      <w:tr w:rsidR="000F3E3C" w:rsidRPr="009C2D05" w14:paraId="6BA9AABD" w14:textId="77777777" w:rsidTr="25900B44">
        <w:tc>
          <w:tcPr>
            <w:tcW w:w="4680" w:type="dxa"/>
          </w:tcPr>
          <w:p w14:paraId="56B3AC5A" w14:textId="77777777" w:rsidR="000F3E3C" w:rsidRDefault="000F3E3C" w:rsidP="009943A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5E7E0D8" w14:textId="77777777" w:rsidR="000F3E3C" w:rsidRDefault="000F3E3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0272C9E8">
        <w:tc>
          <w:tcPr>
            <w:tcW w:w="4680" w:type="dxa"/>
          </w:tcPr>
          <w:p w14:paraId="32D7343B" w14:textId="65E95E28" w:rsidR="00FA21D5" w:rsidRDefault="00FA21D5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commentRangeStart w:id="3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NEF</w:t>
            </w:r>
            <w:commentRangeEnd w:id="3"/>
            <w:r w:rsidR="000C6F6C">
              <w:rPr>
                <w:rStyle w:val="CommentReference"/>
              </w:rPr>
              <w:commentReference w:id="3"/>
            </w:r>
          </w:p>
        </w:tc>
        <w:tc>
          <w:tcPr>
            <w:tcW w:w="4680" w:type="dxa"/>
          </w:tcPr>
          <w:p w14:paraId="04FB8445" w14:textId="77777777" w:rsidR="00FA21D5" w:rsidRPr="00773BF5" w:rsidRDefault="00FA21D5" w:rsidP="0272C9E8">
            <w:pPr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1078FEDC" w:rsidR="00122B07" w:rsidRPr="009C2D05" w:rsidRDefault="006A27A7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551AE384" w:rsidR="00122B07" w:rsidRPr="009C2D05" w:rsidRDefault="006A27A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application logs for unusual requests or rate of requests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873257C" w:rsidR="00E076BC" w:rsidRPr="009C2D05" w:rsidRDefault="006A27A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3CDCF48E" w14:textId="4680E581" w:rsidR="00E076BC" w:rsidRPr="009C2D05" w:rsidRDefault="006A27A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for unusual volumes or sources of requests to the </w:t>
            </w:r>
            <w:r w:rsidR="00882947">
              <w:rPr>
                <w:rFonts w:ascii="Arial" w:eastAsia="Arial" w:hAnsi="Arial" w:cs="Arial"/>
                <w:sz w:val="16"/>
                <w:szCs w:val="16"/>
              </w:rPr>
              <w:t>service</w:t>
            </w:r>
          </w:p>
        </w:tc>
      </w:tr>
      <w:tr w:rsidR="00882947" w:rsidRPr="009C2D05" w14:paraId="11E056C1" w14:textId="77777777" w:rsidTr="00E076BC">
        <w:trPr>
          <w:trHeight w:val="287"/>
        </w:trPr>
        <w:tc>
          <w:tcPr>
            <w:tcW w:w="4680" w:type="dxa"/>
          </w:tcPr>
          <w:p w14:paraId="56A4E747" w14:textId="77777777" w:rsidR="00882947" w:rsidRDefault="00882947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F4980D6" w14:textId="77777777" w:rsidR="00882947" w:rsidRDefault="00882947" w:rsidP="0088294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DFFB9AE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FE0A47" w:rsidRPr="00E9179B" w14:paraId="62948161" w14:textId="77777777" w:rsidTr="00016AAF">
        <w:tc>
          <w:tcPr>
            <w:tcW w:w="4765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585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016AAF">
        <w:tc>
          <w:tcPr>
            <w:tcW w:w="4765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30AACED0" w14:textId="72538EA1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016AAF">
        <w:tc>
          <w:tcPr>
            <w:tcW w:w="4765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 xml:space="preserve">R. Pell, S.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Moschoyiannis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 xml:space="preserve">, E.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Panaousis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 xml:space="preserve">, R. </w:t>
            </w:r>
            <w:proofErr w:type="spellStart"/>
            <w:r w:rsidRPr="005332E4">
              <w:rPr>
                <w:rFonts w:ascii="Arial" w:hAnsi="Arial" w:cs="Arial"/>
                <w:sz w:val="18"/>
                <w:szCs w:val="18"/>
              </w:rPr>
              <w:t>Heartfield</w:t>
            </w:r>
            <w:proofErr w:type="spellEnd"/>
            <w:r w:rsidRPr="005332E4">
              <w:rPr>
                <w:rFonts w:ascii="Arial" w:hAnsi="Arial" w:cs="Arial"/>
                <w:sz w:val="18"/>
                <w:szCs w:val="18"/>
              </w:rPr>
              <w:t>, “Towards dynamic threat modelling in 5G core networks based on MITRE ATT&amp;CK</w:t>
            </w:r>
            <w:proofErr w:type="gramStart"/>
            <w:r w:rsidRPr="005332E4">
              <w:rPr>
                <w:rFonts w:ascii="Arial" w:hAnsi="Arial" w:cs="Arial"/>
                <w:sz w:val="18"/>
                <w:szCs w:val="18"/>
              </w:rPr>
              <w:t>”,  October</w:t>
            </w:r>
            <w:proofErr w:type="gramEnd"/>
            <w:r w:rsidRPr="005332E4">
              <w:rPr>
                <w:rFonts w:ascii="Arial" w:hAnsi="Arial" w:cs="Arial"/>
                <w:sz w:val="18"/>
                <w:szCs w:val="18"/>
              </w:rPr>
              <w:t xml:space="preserve"> 2021</w:t>
            </w:r>
          </w:p>
        </w:tc>
        <w:tc>
          <w:tcPr>
            <w:tcW w:w="4585" w:type="dxa"/>
          </w:tcPr>
          <w:p w14:paraId="7D590E55" w14:textId="77DBA1BC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016AAF">
        <w:tc>
          <w:tcPr>
            <w:tcW w:w="4765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4585" w:type="dxa"/>
          </w:tcPr>
          <w:p w14:paraId="65E53799" w14:textId="6F24FBEB" w:rsidR="00FE0A47" w:rsidRPr="00E9179B" w:rsidRDefault="00FE0A47" w:rsidP="00E9179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74FA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2592C2B9" w14:textId="77777777" w:rsidR="00FE0A47" w:rsidRPr="00E9179B" w:rsidRDefault="00FE0A47" w:rsidP="00FE0A47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14:paraId="4DE8A244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Pr="001A041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809" w:rsidRPr="001A0419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7-14T15:07:00Z" w:initials="DSD">
    <w:p w14:paraId="1C9B8C3D" w14:textId="6F602A3D" w:rsidR="00842908" w:rsidRDefault="00152218" w:rsidP="00D9051F">
      <w:pPr>
        <w:pStyle w:val="CommentText"/>
      </w:pPr>
      <w:r>
        <w:rPr>
          <w:rStyle w:val="CommentReference"/>
        </w:rPr>
        <w:annotationRef/>
      </w:r>
      <w:r w:rsidR="00842908">
        <w:fldChar w:fldCharType="begin"/>
      </w:r>
      <w:r w:rsidR="00842908">
        <w:instrText xml:space="preserve"> HYPERLINK "mailto:aradle@mitre.org" </w:instrText>
      </w:r>
      <w:bookmarkStart w:id="1" w:name="_@_4AEA090A5604493CA5336A9A85E89233Z"/>
      <w:r w:rsidR="00842908">
        <w:fldChar w:fldCharType="separate"/>
      </w:r>
      <w:bookmarkEnd w:id="1"/>
      <w:r w:rsidR="00842908" w:rsidRPr="00842908">
        <w:rPr>
          <w:rStyle w:val="Mention"/>
          <w:noProof/>
        </w:rPr>
        <w:t>@Andy Radle</w:t>
      </w:r>
      <w:r w:rsidR="00842908">
        <w:fldChar w:fldCharType="end"/>
      </w:r>
      <w:r w:rsidR="00842908">
        <w:t xml:space="preserve"> add definition of public interface. For now we can use </w:t>
      </w:r>
      <w:hyperlink r:id="rId1" w:history="1">
        <w:r w:rsidR="00842908" w:rsidRPr="00D9051F">
          <w:rPr>
            <w:rStyle w:val="Hyperlink"/>
          </w:rPr>
          <w:t>https://attack.mitre.org/techniques/T1190/</w:t>
        </w:r>
      </w:hyperlink>
      <w:r w:rsidR="00842908">
        <w:t xml:space="preserve"> from MITRE ATT&amp;CK.</w:t>
      </w:r>
    </w:p>
  </w:comment>
  <w:comment w:id="2" w:author="M. Vanderveen" w:date="2022-05-14T17:13:00Z" w:initials="MV">
    <w:p w14:paraId="3530BBF1" w14:textId="403D51A5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  <w:comment w:id="3" w:author="Dr. Surajit Dey" w:date="2022-07-14T15:19:00Z" w:initials="DSD">
    <w:p w14:paraId="45D41D00" w14:textId="77777777" w:rsidR="000C6F6C" w:rsidRDefault="000C6F6C" w:rsidP="00B74067">
      <w:pPr>
        <w:pStyle w:val="CommentText"/>
      </w:pPr>
      <w:r>
        <w:rPr>
          <w:rStyle w:val="CommentReference"/>
        </w:rPr>
        <w:annotationRef/>
      </w:r>
      <w:r>
        <w:t>Include other NFs in core such as AMF, LMF etc. which interacts to external application functions via NEF.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B8C3D" w15:done="0"/>
  <w15:commentEx w15:paraId="725235FD" w15:done="0"/>
  <w15:commentEx w15:paraId="45D41D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AFB1" w16cex:dateUtc="2022-07-14T19:07:00Z"/>
  <w16cex:commentExtensible w16cex:durableId="262A61D1" w16cex:dateUtc="2022-05-15T00:13:00Z"/>
  <w16cex:commentExtensible w16cex:durableId="267AB273" w16cex:dateUtc="2022-07-14T1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B8C3D" w16cid:durableId="267AAFB1"/>
  <w16cid:commentId w16cid:paraId="725235FD" w16cid:durableId="262A61D1"/>
  <w16cid:commentId w16cid:paraId="45D41D00" w16cid:durableId="267A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10B8" w14:textId="77777777" w:rsidR="000B30DF" w:rsidRDefault="000B30DF" w:rsidP="00684328">
      <w:r>
        <w:separator/>
      </w:r>
    </w:p>
  </w:endnote>
  <w:endnote w:type="continuationSeparator" w:id="0">
    <w:p w14:paraId="3725A673" w14:textId="77777777" w:rsidR="000B30DF" w:rsidRDefault="000B30DF" w:rsidP="00684328">
      <w:r>
        <w:continuationSeparator/>
      </w:r>
    </w:p>
  </w:endnote>
  <w:endnote w:type="continuationNotice" w:id="1">
    <w:p w14:paraId="5F6FC902" w14:textId="77777777" w:rsidR="000B30DF" w:rsidRDefault="000B3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CAE6" w14:textId="77777777" w:rsidR="000B30DF" w:rsidRDefault="000B30DF" w:rsidP="00684328">
      <w:r>
        <w:separator/>
      </w:r>
    </w:p>
  </w:footnote>
  <w:footnote w:type="continuationSeparator" w:id="0">
    <w:p w14:paraId="241B8D6A" w14:textId="77777777" w:rsidR="000B30DF" w:rsidRDefault="000B30DF" w:rsidP="00684328">
      <w:r>
        <w:continuationSeparator/>
      </w:r>
    </w:p>
  </w:footnote>
  <w:footnote w:type="continuationNotice" w:id="1">
    <w:p w14:paraId="19A6661B" w14:textId="77777777" w:rsidR="000B30DF" w:rsidRDefault="000B30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AAF"/>
    <w:rsid w:val="00020259"/>
    <w:rsid w:val="000227C6"/>
    <w:rsid w:val="0003460D"/>
    <w:rsid w:val="00036760"/>
    <w:rsid w:val="00044724"/>
    <w:rsid w:val="00047624"/>
    <w:rsid w:val="00050DAF"/>
    <w:rsid w:val="000820C2"/>
    <w:rsid w:val="00084473"/>
    <w:rsid w:val="00090183"/>
    <w:rsid w:val="00090B05"/>
    <w:rsid w:val="00095BA5"/>
    <w:rsid w:val="000A7E11"/>
    <w:rsid w:val="000B1A16"/>
    <w:rsid w:val="000B30DF"/>
    <w:rsid w:val="000B6E5C"/>
    <w:rsid w:val="000C6F6C"/>
    <w:rsid w:val="000C74DD"/>
    <w:rsid w:val="000F3E3C"/>
    <w:rsid w:val="000F3FE0"/>
    <w:rsid w:val="00102859"/>
    <w:rsid w:val="001036B2"/>
    <w:rsid w:val="001226B1"/>
    <w:rsid w:val="00122B07"/>
    <w:rsid w:val="001352EB"/>
    <w:rsid w:val="00146E94"/>
    <w:rsid w:val="00152218"/>
    <w:rsid w:val="00173A4F"/>
    <w:rsid w:val="0017483E"/>
    <w:rsid w:val="0017538D"/>
    <w:rsid w:val="00175DA5"/>
    <w:rsid w:val="00192F5B"/>
    <w:rsid w:val="001A0419"/>
    <w:rsid w:val="001A5A73"/>
    <w:rsid w:val="001B6D11"/>
    <w:rsid w:val="001D23BB"/>
    <w:rsid w:val="001D49AF"/>
    <w:rsid w:val="00213376"/>
    <w:rsid w:val="00213738"/>
    <w:rsid w:val="002161F6"/>
    <w:rsid w:val="0021640F"/>
    <w:rsid w:val="002304E9"/>
    <w:rsid w:val="002346A0"/>
    <w:rsid w:val="002367E7"/>
    <w:rsid w:val="0024470B"/>
    <w:rsid w:val="00267F4A"/>
    <w:rsid w:val="0029047F"/>
    <w:rsid w:val="002961C8"/>
    <w:rsid w:val="002B03B3"/>
    <w:rsid w:val="002B0434"/>
    <w:rsid w:val="002B7432"/>
    <w:rsid w:val="002C3F37"/>
    <w:rsid w:val="002D1C0D"/>
    <w:rsid w:val="002E2869"/>
    <w:rsid w:val="002F3081"/>
    <w:rsid w:val="002F6410"/>
    <w:rsid w:val="00302351"/>
    <w:rsid w:val="0030258D"/>
    <w:rsid w:val="00315945"/>
    <w:rsid w:val="003374FA"/>
    <w:rsid w:val="00385042"/>
    <w:rsid w:val="00387CBD"/>
    <w:rsid w:val="00397724"/>
    <w:rsid w:val="003A66B7"/>
    <w:rsid w:val="003B4B1D"/>
    <w:rsid w:val="003C184C"/>
    <w:rsid w:val="003D6861"/>
    <w:rsid w:val="003E4809"/>
    <w:rsid w:val="003E7744"/>
    <w:rsid w:val="003F320B"/>
    <w:rsid w:val="00402818"/>
    <w:rsid w:val="00402DA4"/>
    <w:rsid w:val="00432290"/>
    <w:rsid w:val="00462F09"/>
    <w:rsid w:val="0046726B"/>
    <w:rsid w:val="00483DE2"/>
    <w:rsid w:val="00495FD7"/>
    <w:rsid w:val="004A3076"/>
    <w:rsid w:val="004A76DF"/>
    <w:rsid w:val="004B08D7"/>
    <w:rsid w:val="004B0C0F"/>
    <w:rsid w:val="004C05E8"/>
    <w:rsid w:val="004C6800"/>
    <w:rsid w:val="004C71F3"/>
    <w:rsid w:val="004D0503"/>
    <w:rsid w:val="004E68DA"/>
    <w:rsid w:val="004E794E"/>
    <w:rsid w:val="005044B9"/>
    <w:rsid w:val="005071A3"/>
    <w:rsid w:val="00512E9D"/>
    <w:rsid w:val="0052139A"/>
    <w:rsid w:val="00521C31"/>
    <w:rsid w:val="005332E4"/>
    <w:rsid w:val="00534FB0"/>
    <w:rsid w:val="00547A2C"/>
    <w:rsid w:val="005561EE"/>
    <w:rsid w:val="005564ED"/>
    <w:rsid w:val="00560BB9"/>
    <w:rsid w:val="00563136"/>
    <w:rsid w:val="00574F32"/>
    <w:rsid w:val="00595F29"/>
    <w:rsid w:val="005A3096"/>
    <w:rsid w:val="005B25A4"/>
    <w:rsid w:val="005C190F"/>
    <w:rsid w:val="005C20B9"/>
    <w:rsid w:val="005D3A14"/>
    <w:rsid w:val="005F7A9A"/>
    <w:rsid w:val="0061115D"/>
    <w:rsid w:val="006276C3"/>
    <w:rsid w:val="0064279D"/>
    <w:rsid w:val="00642EA0"/>
    <w:rsid w:val="00651E89"/>
    <w:rsid w:val="00655C5B"/>
    <w:rsid w:val="00666215"/>
    <w:rsid w:val="00673F11"/>
    <w:rsid w:val="00683CA7"/>
    <w:rsid w:val="00684328"/>
    <w:rsid w:val="006A16A0"/>
    <w:rsid w:val="006A27A7"/>
    <w:rsid w:val="006A68AF"/>
    <w:rsid w:val="006C3194"/>
    <w:rsid w:val="006C3AE1"/>
    <w:rsid w:val="006D1A1C"/>
    <w:rsid w:val="006D7732"/>
    <w:rsid w:val="006D77FF"/>
    <w:rsid w:val="006F4FA3"/>
    <w:rsid w:val="006F7ADE"/>
    <w:rsid w:val="007001DA"/>
    <w:rsid w:val="00705614"/>
    <w:rsid w:val="00713517"/>
    <w:rsid w:val="0071530B"/>
    <w:rsid w:val="0073644D"/>
    <w:rsid w:val="00751892"/>
    <w:rsid w:val="00773BF5"/>
    <w:rsid w:val="0078137B"/>
    <w:rsid w:val="007A003F"/>
    <w:rsid w:val="007B4C23"/>
    <w:rsid w:val="007B5448"/>
    <w:rsid w:val="007C0734"/>
    <w:rsid w:val="007C087F"/>
    <w:rsid w:val="007C6E0D"/>
    <w:rsid w:val="007D5AAA"/>
    <w:rsid w:val="007E0990"/>
    <w:rsid w:val="007F2DC2"/>
    <w:rsid w:val="007F6957"/>
    <w:rsid w:val="00800210"/>
    <w:rsid w:val="00817AD0"/>
    <w:rsid w:val="0082392D"/>
    <w:rsid w:val="0082450B"/>
    <w:rsid w:val="00837F3F"/>
    <w:rsid w:val="00842908"/>
    <w:rsid w:val="00853285"/>
    <w:rsid w:val="008604CF"/>
    <w:rsid w:val="00860A27"/>
    <w:rsid w:val="008626EB"/>
    <w:rsid w:val="00862BC2"/>
    <w:rsid w:val="00863959"/>
    <w:rsid w:val="00874E8E"/>
    <w:rsid w:val="00882947"/>
    <w:rsid w:val="008A6D14"/>
    <w:rsid w:val="008B5F90"/>
    <w:rsid w:val="008B606D"/>
    <w:rsid w:val="008C47D0"/>
    <w:rsid w:val="008D4473"/>
    <w:rsid w:val="008E2CA2"/>
    <w:rsid w:val="00901A3F"/>
    <w:rsid w:val="00922A49"/>
    <w:rsid w:val="009269D1"/>
    <w:rsid w:val="00926A04"/>
    <w:rsid w:val="00926AF7"/>
    <w:rsid w:val="00931635"/>
    <w:rsid w:val="00935BFC"/>
    <w:rsid w:val="009419F4"/>
    <w:rsid w:val="00941EDC"/>
    <w:rsid w:val="00943D98"/>
    <w:rsid w:val="00950B69"/>
    <w:rsid w:val="00966A6D"/>
    <w:rsid w:val="00967B26"/>
    <w:rsid w:val="009833CC"/>
    <w:rsid w:val="009852FD"/>
    <w:rsid w:val="00987F48"/>
    <w:rsid w:val="009943A9"/>
    <w:rsid w:val="009A351F"/>
    <w:rsid w:val="009A647D"/>
    <w:rsid w:val="009B653A"/>
    <w:rsid w:val="009C2D05"/>
    <w:rsid w:val="009C6762"/>
    <w:rsid w:val="009D4D69"/>
    <w:rsid w:val="009F4A04"/>
    <w:rsid w:val="00A02679"/>
    <w:rsid w:val="00A05349"/>
    <w:rsid w:val="00A124D6"/>
    <w:rsid w:val="00A151F0"/>
    <w:rsid w:val="00A31A5D"/>
    <w:rsid w:val="00A34547"/>
    <w:rsid w:val="00A46B1C"/>
    <w:rsid w:val="00A55E20"/>
    <w:rsid w:val="00A61C28"/>
    <w:rsid w:val="00A6505C"/>
    <w:rsid w:val="00A74AA2"/>
    <w:rsid w:val="00A94926"/>
    <w:rsid w:val="00AB004E"/>
    <w:rsid w:val="00AB15A5"/>
    <w:rsid w:val="00AB5E23"/>
    <w:rsid w:val="00AD0337"/>
    <w:rsid w:val="00AE22C9"/>
    <w:rsid w:val="00AE52BA"/>
    <w:rsid w:val="00AF05E8"/>
    <w:rsid w:val="00AF06DC"/>
    <w:rsid w:val="00AF1498"/>
    <w:rsid w:val="00B062BE"/>
    <w:rsid w:val="00B204B6"/>
    <w:rsid w:val="00B22D50"/>
    <w:rsid w:val="00B26A03"/>
    <w:rsid w:val="00B3126A"/>
    <w:rsid w:val="00B32E3A"/>
    <w:rsid w:val="00B45D0F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61CA"/>
    <w:rsid w:val="00C0091D"/>
    <w:rsid w:val="00C15B0A"/>
    <w:rsid w:val="00C22212"/>
    <w:rsid w:val="00C22712"/>
    <w:rsid w:val="00C605AB"/>
    <w:rsid w:val="00C953BD"/>
    <w:rsid w:val="00C97961"/>
    <w:rsid w:val="00CA5290"/>
    <w:rsid w:val="00CB73D0"/>
    <w:rsid w:val="00CB7CC8"/>
    <w:rsid w:val="00CC217C"/>
    <w:rsid w:val="00CD0776"/>
    <w:rsid w:val="00D2209F"/>
    <w:rsid w:val="00D24AD7"/>
    <w:rsid w:val="00D65606"/>
    <w:rsid w:val="00D7138A"/>
    <w:rsid w:val="00D74863"/>
    <w:rsid w:val="00D81B66"/>
    <w:rsid w:val="00D92517"/>
    <w:rsid w:val="00D977F8"/>
    <w:rsid w:val="00D97E78"/>
    <w:rsid w:val="00DA1E92"/>
    <w:rsid w:val="00DD0F97"/>
    <w:rsid w:val="00DF00DF"/>
    <w:rsid w:val="00DF2659"/>
    <w:rsid w:val="00E03E6E"/>
    <w:rsid w:val="00E076BC"/>
    <w:rsid w:val="00E1076A"/>
    <w:rsid w:val="00E33E61"/>
    <w:rsid w:val="00E410E7"/>
    <w:rsid w:val="00E46C36"/>
    <w:rsid w:val="00E477A0"/>
    <w:rsid w:val="00E56A40"/>
    <w:rsid w:val="00E71920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6DC6"/>
    <w:rsid w:val="00EC20A3"/>
    <w:rsid w:val="00EE476F"/>
    <w:rsid w:val="00EE522F"/>
    <w:rsid w:val="00F149D8"/>
    <w:rsid w:val="00F1771F"/>
    <w:rsid w:val="00F44117"/>
    <w:rsid w:val="00F662CD"/>
    <w:rsid w:val="00F67BD1"/>
    <w:rsid w:val="00F75C35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13846D6-969A-4AF7-A726-1664CE56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ttack.mitre.org/techniques/T119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19D88C-F9F5-4BD8-A74D-BA2AE6FF2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16</cp:revision>
  <dcterms:created xsi:type="dcterms:W3CDTF">2022-06-07T17:46:00Z</dcterms:created>
  <dcterms:modified xsi:type="dcterms:W3CDTF">2022-07-14T19:19:00Z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