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6E263D4" w:rsidR="4B0E0084" w:rsidRPr="00DB2BFF" w:rsidRDefault="00A43A6B"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w:t>
      </w:r>
      <w:r w:rsidR="00B106F4">
        <w:rPr>
          <w:rFonts w:ascii="Arial" w:eastAsia="Arial" w:hAnsi="Arial" w:cs="Arial"/>
          <w:sz w:val="44"/>
          <w:szCs w:val="44"/>
        </w:rPr>
        <w:t>583</w:t>
      </w:r>
      <w:r w:rsidR="002D38B9">
        <w:rPr>
          <w:rFonts w:ascii="Arial" w:eastAsia="Arial" w:hAnsi="Arial" w:cs="Arial"/>
          <w:sz w:val="44"/>
          <w:szCs w:val="44"/>
        </w:rPr>
        <w:t xml:space="preserve"> </w:t>
      </w:r>
      <w:r w:rsidR="00B106F4">
        <w:rPr>
          <w:rFonts w:ascii="Arial" w:eastAsia="Arial" w:hAnsi="Arial" w:cs="Arial"/>
          <w:sz w:val="44"/>
          <w:szCs w:val="44"/>
        </w:rPr>
        <w:t>Access to Cloud Infrastructure or MEC</w:t>
      </w:r>
    </w:p>
    <w:p w14:paraId="698590C9" w14:textId="7DEBE97B"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w:t>
      </w:r>
      <w:r w:rsidR="00983A82">
        <w:rPr>
          <w:rFonts w:ascii="Arial" w:eastAsia="Arial" w:hAnsi="Arial" w:cs="Arial"/>
        </w:rPr>
        <w:t xml:space="preserve"> </w:t>
      </w:r>
      <w:r w:rsidR="00B106F4" w:rsidRPr="00B106F4">
        <w:rPr>
          <w:rFonts w:ascii="Arial" w:eastAsia="Arial" w:hAnsi="Arial" w:cs="Arial"/>
        </w:rPr>
        <w:t xml:space="preserve">An adversary may </w:t>
      </w:r>
      <w:r w:rsidR="00EE772E">
        <w:rPr>
          <w:rFonts w:ascii="Arial" w:eastAsia="Arial" w:hAnsi="Arial" w:cs="Arial"/>
        </w:rPr>
        <w:t>purchase</w:t>
      </w:r>
      <w:r w:rsidR="00B106F4" w:rsidRPr="00B106F4">
        <w:rPr>
          <w:rFonts w:ascii="Arial" w:eastAsia="Arial" w:hAnsi="Arial" w:cs="Arial"/>
        </w:rPr>
        <w:t xml:space="preserve"> access to cloud infrastructure or </w:t>
      </w:r>
      <w:r w:rsidR="008E34A7">
        <w:rPr>
          <w:rFonts w:ascii="Arial" w:eastAsia="Arial" w:hAnsi="Arial" w:cs="Arial"/>
        </w:rPr>
        <w:t>Multi-access Edge Computing (</w:t>
      </w:r>
      <w:r w:rsidR="00B106F4" w:rsidRPr="00B106F4">
        <w:rPr>
          <w:rFonts w:ascii="Arial" w:eastAsia="Arial" w:hAnsi="Arial" w:cs="Arial"/>
        </w:rPr>
        <w:t>MEC</w:t>
      </w:r>
      <w:r w:rsidR="008E34A7">
        <w:rPr>
          <w:rFonts w:ascii="Arial" w:eastAsia="Arial" w:hAnsi="Arial" w:cs="Arial"/>
        </w:rPr>
        <w:t>)</w:t>
      </w:r>
      <w:r w:rsidR="00B106F4" w:rsidRPr="00B106F4">
        <w:rPr>
          <w:rFonts w:ascii="Arial" w:eastAsia="Arial" w:hAnsi="Arial" w:cs="Arial"/>
        </w:rPr>
        <w:t xml:space="preserve"> resources that</w:t>
      </w:r>
      <w:r w:rsidR="00AE59A9">
        <w:rPr>
          <w:rFonts w:ascii="Arial" w:eastAsia="Arial" w:hAnsi="Arial" w:cs="Arial"/>
        </w:rPr>
        <w:t xml:space="preserve"> will</w:t>
      </w:r>
      <w:r w:rsidR="00B106F4" w:rsidRPr="00B106F4">
        <w:rPr>
          <w:rFonts w:ascii="Arial" w:eastAsia="Arial" w:hAnsi="Arial" w:cs="Arial"/>
        </w:rPr>
        <w:t xml:space="preserve"> also </w:t>
      </w:r>
      <w:r w:rsidR="00AE59A9">
        <w:rPr>
          <w:rFonts w:ascii="Arial" w:eastAsia="Arial" w:hAnsi="Arial" w:cs="Arial"/>
        </w:rPr>
        <w:t xml:space="preserve">be </w:t>
      </w:r>
      <w:r w:rsidR="00B106F4" w:rsidRPr="00B106F4">
        <w:rPr>
          <w:rFonts w:ascii="Arial" w:eastAsia="Arial" w:hAnsi="Arial" w:cs="Arial"/>
        </w:rPr>
        <w:t xml:space="preserve">hosting the </w:t>
      </w:r>
      <w:r w:rsidR="00EE772E">
        <w:rPr>
          <w:rFonts w:ascii="Arial" w:eastAsia="Arial" w:hAnsi="Arial" w:cs="Arial"/>
        </w:rPr>
        <w:t>operator’s</w:t>
      </w:r>
      <w:r w:rsidR="00B106F4" w:rsidRPr="00B106F4">
        <w:rPr>
          <w:rFonts w:ascii="Arial" w:eastAsia="Arial" w:hAnsi="Arial" w:cs="Arial"/>
        </w:rPr>
        <w:t xml:space="preserve"> infrastructure.</w:t>
      </w:r>
    </w:p>
    <w:p w14:paraId="43E9C200" w14:textId="77777777" w:rsidR="000E6014" w:rsidRDefault="000E6014" w:rsidP="3EDC4A28">
      <w:pPr>
        <w:rPr>
          <w:rFonts w:ascii="Arial" w:eastAsia="Arial" w:hAnsi="Arial" w:cs="Arial"/>
        </w:rPr>
      </w:pPr>
    </w:p>
    <w:p w14:paraId="1286C5D8" w14:textId="029115B2" w:rsidR="1B27A524" w:rsidRDefault="002170E5" w:rsidP="1B27A524">
      <w:pPr>
        <w:rPr>
          <w:rFonts w:ascii="Arial" w:eastAsia="Arial" w:hAnsi="Arial" w:cs="Arial"/>
        </w:rPr>
      </w:pPr>
      <w:r>
        <w:rPr>
          <w:rFonts w:ascii="Arial" w:eastAsia="Arial" w:hAnsi="Arial" w:cs="Arial"/>
        </w:rPr>
        <w:t>Mobile Network Operator</w:t>
      </w:r>
      <w:commentRangeStart w:id="0"/>
      <w:r w:rsidR="1B27A524" w:rsidRPr="1B27A524">
        <w:rPr>
          <w:rFonts w:ascii="Arial" w:eastAsia="Arial" w:hAnsi="Arial" w:cs="Arial"/>
        </w:rPr>
        <w:t xml:space="preserve">s are looking to commercial cloud </w:t>
      </w:r>
      <w:commentRangeEnd w:id="0"/>
      <w:r w:rsidR="00203357">
        <w:rPr>
          <w:rStyle w:val="CommentReference"/>
        </w:rPr>
        <w:commentReference w:id="0"/>
      </w:r>
      <w:r w:rsidR="1B27A524" w:rsidRPr="1B27A524">
        <w:rPr>
          <w:rFonts w:ascii="Arial" w:eastAsia="Arial" w:hAnsi="Arial" w:cs="Arial"/>
        </w:rPr>
        <w:t>and MEC providers to deploy 5G Core and RAN functions.  Similar resources may also be utilized to offer compute services for time latency sensitive enterprise/user applications.  Adversaries may attempt to target victims by creating co-residency in cloud or MEC resources for bridging network, or lateral movements by using software and configuration vulnerabilities.</w:t>
      </w:r>
      <w:r w:rsidR="00AA5087">
        <w:rPr>
          <w:rFonts w:ascii="Arial" w:eastAsia="Arial" w:hAnsi="Arial" w:cs="Arial"/>
        </w:rPr>
        <w:t xml:space="preserve"> These are sometimes referred to as colocation attacks.</w:t>
      </w:r>
    </w:p>
    <w:p w14:paraId="7D7DDAB4" w14:textId="77777777" w:rsidR="00AA5087" w:rsidRDefault="00AA5087" w:rsidP="1B27A524">
      <w:pPr>
        <w:rPr>
          <w:rFonts w:ascii="Arial" w:eastAsia="Arial" w:hAnsi="Arial" w:cs="Arial"/>
        </w:rPr>
      </w:pPr>
    </w:p>
    <w:p w14:paraId="231E1880" w14:textId="77777777" w:rsidR="00E410E7" w:rsidRPr="00DB2BFF" w:rsidRDefault="00E410E7" w:rsidP="00E410E7">
      <w:pPr>
        <w:rPr>
          <w:rFonts w:ascii="Arial" w:eastAsia="Arial" w:hAnsi="Arial" w:cs="Arial"/>
          <w:sz w:val="21"/>
          <w:szCs w:val="21"/>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5A421428" w:rsidR="00943FE7" w:rsidRDefault="00943FE7" w:rsidP="00DE7D4A">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45548A">
        <w:rPr>
          <w:rFonts w:ascii="Arial" w:eastAsia="Arial" w:hAnsi="Arial" w:cs="Arial"/>
        </w:rPr>
        <w:t>N/A</w:t>
      </w:r>
    </w:p>
    <w:p w14:paraId="1B8F05CE" w14:textId="0AB3DAFE" w:rsidR="00AF06DC" w:rsidRPr="00943FE7" w:rsidRDefault="003D6861" w:rsidP="00DE7D4A">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A43A6B">
        <w:rPr>
          <w:rFonts w:ascii="Arial" w:eastAsia="Arial" w:hAnsi="Arial" w:cs="Arial"/>
        </w:rPr>
        <w:t>resource-development</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14A1877C"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B106F4">
        <w:rPr>
          <w:rFonts w:ascii="Arial" w:eastAsia="Arial" w:hAnsi="Arial" w:cs="Arial"/>
        </w:rPr>
        <w:t>OA&amp;M</w:t>
      </w:r>
      <w:r w:rsidR="00E76C27">
        <w:rPr>
          <w:rFonts w:ascii="Arial" w:eastAsia="Arial" w:hAnsi="Arial" w:cs="Arial"/>
        </w:rPr>
        <w:t>, MEC</w:t>
      </w:r>
    </w:p>
    <w:p w14:paraId="264F76E1" w14:textId="334CFC7A"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D34CA9">
        <w:rPr>
          <w:rFonts w:ascii="Arial" w:eastAsia="Arial" w:hAnsi="Arial" w:cs="Arial"/>
        </w:rPr>
        <w:t xml:space="preserve">5G </w:t>
      </w:r>
      <w:r w:rsidR="00B106F4">
        <w:rPr>
          <w:rFonts w:ascii="Arial" w:eastAsia="Arial" w:hAnsi="Arial" w:cs="Arial"/>
        </w:rPr>
        <w:t>Network</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46269421"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351E107E" w14:textId="0705B01F" w:rsidR="005C20B9" w:rsidRPr="00B33E5F" w:rsidRDefault="00A94926" w:rsidP="00BA4C68">
      <w:pPr>
        <w:pStyle w:val="ListParagraph"/>
        <w:numPr>
          <w:ilvl w:val="0"/>
          <w:numId w:val="4"/>
        </w:numPr>
        <w:rPr>
          <w:rFonts w:ascii="Arial" w:eastAsia="Arial" w:hAnsi="Arial" w:cs="Arial"/>
          <w:sz w:val="28"/>
          <w:szCs w:val="28"/>
          <w:lang w:val="en"/>
        </w:rPr>
      </w:pPr>
      <w:r w:rsidRPr="00B33E5F">
        <w:rPr>
          <w:rFonts w:ascii="Arial" w:eastAsia="Arial" w:hAnsi="Arial" w:cs="Arial"/>
        </w:rPr>
        <w:t>Theoretical</w:t>
      </w:r>
      <w:r w:rsidR="00D7138A" w:rsidRPr="00B33E5F">
        <w:rPr>
          <w:rFonts w:ascii="Arial" w:eastAsia="Arial" w:hAnsi="Arial" w:cs="Arial"/>
        </w:rPr>
        <w:t>/Observed</w:t>
      </w:r>
      <w:r w:rsidRPr="00B33E5F">
        <w:rPr>
          <w:rFonts w:ascii="Arial" w:eastAsia="Arial" w:hAnsi="Arial" w:cs="Arial"/>
        </w:rPr>
        <w:t xml:space="preserve">: </w:t>
      </w:r>
      <w:r w:rsidR="00B106F4">
        <w:rPr>
          <w:rFonts w:ascii="Arial" w:eastAsia="Arial" w:hAnsi="Arial" w:cs="Arial"/>
        </w:rPr>
        <w:t>Theoretical</w:t>
      </w:r>
    </w:p>
    <w:p w14:paraId="42B6D5BF" w14:textId="7B32CA1D" w:rsidR="00B33E5F" w:rsidRDefault="00B33E5F" w:rsidP="00B33E5F">
      <w:pPr>
        <w:pStyle w:val="ListParagraph"/>
        <w:rPr>
          <w:rFonts w:ascii="Arial" w:eastAsia="Arial" w:hAnsi="Arial" w:cs="Arial"/>
        </w:rPr>
      </w:pPr>
    </w:p>
    <w:p w14:paraId="6680B08C" w14:textId="77777777" w:rsidR="00B33E5F" w:rsidRPr="00B33E5F" w:rsidRDefault="00B33E5F" w:rsidP="00B33E5F">
      <w:pPr>
        <w:pStyle w:val="ListParagraph"/>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DB2BFF" w14:paraId="2845C53F" w14:textId="77777777" w:rsidTr="5986D52C">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5986D52C">
        <w:tc>
          <w:tcPr>
            <w:tcW w:w="4680" w:type="dxa"/>
          </w:tcPr>
          <w:p w14:paraId="35EB4C3D" w14:textId="259BD570" w:rsidR="5986D52C" w:rsidRPr="000A4860" w:rsidRDefault="00EE772E" w:rsidP="5986D52C">
            <w:pPr>
              <w:rPr>
                <w:rFonts w:ascii="Arial" w:eastAsia="Arial" w:hAnsi="Arial" w:cs="Arial"/>
                <w:sz w:val="16"/>
                <w:szCs w:val="16"/>
                <w:highlight w:val="yellow"/>
              </w:rPr>
            </w:pPr>
            <w:r w:rsidRPr="00EE772E">
              <w:rPr>
                <w:rFonts w:ascii="Arial" w:eastAsia="Arial" w:hAnsi="Arial" w:cs="Arial"/>
                <w:sz w:val="16"/>
                <w:szCs w:val="16"/>
              </w:rPr>
              <w:t>Locate cloud resources of target</w:t>
            </w:r>
          </w:p>
        </w:tc>
        <w:tc>
          <w:tcPr>
            <w:tcW w:w="4680" w:type="dxa"/>
          </w:tcPr>
          <w:p w14:paraId="6BB7B8F4" w14:textId="112BDA67" w:rsidR="07561C29" w:rsidRPr="000A4860" w:rsidRDefault="00FD5E37" w:rsidP="5986D52C">
            <w:pPr>
              <w:rPr>
                <w:rFonts w:ascii="Arial" w:eastAsia="Arial" w:hAnsi="Arial" w:cs="Arial"/>
                <w:color w:val="404040" w:themeColor="text1" w:themeTint="BF"/>
                <w:sz w:val="16"/>
                <w:szCs w:val="16"/>
                <w:highlight w:val="yellow"/>
              </w:rPr>
            </w:pPr>
            <w:r>
              <w:rPr>
                <w:rFonts w:ascii="Arial" w:eastAsia="Arial" w:hAnsi="Arial" w:cs="Arial"/>
                <w:color w:val="404040" w:themeColor="text1" w:themeTint="BF"/>
                <w:sz w:val="16"/>
                <w:szCs w:val="16"/>
              </w:rPr>
              <w:t xml:space="preserve">[2] is </w:t>
            </w:r>
            <w:proofErr w:type="gramStart"/>
            <w:r>
              <w:rPr>
                <w:rFonts w:ascii="Arial" w:eastAsia="Arial" w:hAnsi="Arial" w:cs="Arial"/>
                <w:color w:val="404040" w:themeColor="text1" w:themeTint="BF"/>
                <w:sz w:val="16"/>
                <w:szCs w:val="16"/>
              </w:rPr>
              <w:t>a</w:t>
            </w:r>
            <w:r w:rsidRPr="00FD5E37">
              <w:rPr>
                <w:rFonts w:ascii="Arial" w:eastAsia="Arial" w:hAnsi="Arial" w:cs="Arial"/>
                <w:color w:val="404040" w:themeColor="text1" w:themeTint="BF"/>
                <w:sz w:val="16"/>
                <w:szCs w:val="16"/>
              </w:rPr>
              <w:t xml:space="preserve"> university research</w:t>
            </w:r>
            <w:proofErr w:type="gramEnd"/>
            <w:r w:rsidRPr="00FD5E37">
              <w:rPr>
                <w:rFonts w:ascii="Arial" w:eastAsia="Arial" w:hAnsi="Arial" w:cs="Arial"/>
                <w:color w:val="404040" w:themeColor="text1" w:themeTint="BF"/>
                <w:sz w:val="16"/>
                <w:szCs w:val="16"/>
              </w:rPr>
              <w:t xml:space="preserve"> show</w:t>
            </w:r>
            <w:r>
              <w:rPr>
                <w:rFonts w:ascii="Arial" w:eastAsia="Arial" w:hAnsi="Arial" w:cs="Arial"/>
                <w:color w:val="404040" w:themeColor="text1" w:themeTint="BF"/>
                <w:sz w:val="16"/>
                <w:szCs w:val="16"/>
              </w:rPr>
              <w:t>ing</w:t>
            </w:r>
            <w:r w:rsidRPr="00FD5E37">
              <w:rPr>
                <w:rFonts w:ascii="Arial" w:eastAsia="Arial" w:hAnsi="Arial" w:cs="Arial"/>
                <w:color w:val="404040" w:themeColor="text1" w:themeTint="BF"/>
                <w:sz w:val="16"/>
                <w:szCs w:val="16"/>
              </w:rPr>
              <w:t xml:space="preserve"> how an attacker can locate </w:t>
            </w:r>
            <w:r w:rsidR="008F6BA9">
              <w:rPr>
                <w:rFonts w:ascii="Arial" w:eastAsia="Arial" w:hAnsi="Arial" w:cs="Arial"/>
                <w:color w:val="404040" w:themeColor="text1" w:themeTint="BF"/>
                <w:sz w:val="16"/>
                <w:szCs w:val="16"/>
              </w:rPr>
              <w:t>an entity’s</w:t>
            </w:r>
            <w:r w:rsidRPr="00FD5E37">
              <w:rPr>
                <w:rFonts w:ascii="Arial" w:eastAsia="Arial" w:hAnsi="Arial" w:cs="Arial"/>
                <w:color w:val="404040" w:themeColor="text1" w:themeTint="BF"/>
                <w:sz w:val="16"/>
                <w:szCs w:val="16"/>
              </w:rPr>
              <w:t xml:space="preserve"> systems in the cloud and work to instantiate profiling and other malicious hosts on the same physical platform</w:t>
            </w:r>
            <w:r w:rsidR="008049EB">
              <w:rPr>
                <w:rFonts w:ascii="Arial" w:eastAsia="Arial" w:hAnsi="Arial" w:cs="Arial"/>
                <w:color w:val="404040" w:themeColor="text1" w:themeTint="BF"/>
                <w:sz w:val="16"/>
                <w:szCs w:val="16"/>
              </w:rPr>
              <w:t>.</w:t>
            </w:r>
          </w:p>
        </w:tc>
      </w:tr>
      <w:tr w:rsidR="002D2F66" w:rsidRPr="00DB2BFF" w14:paraId="36E510CA" w14:textId="77777777" w:rsidTr="5986D52C">
        <w:tc>
          <w:tcPr>
            <w:tcW w:w="4680" w:type="dxa"/>
          </w:tcPr>
          <w:p w14:paraId="501EF9ED" w14:textId="6A22EB0A" w:rsidR="002D2F66" w:rsidRPr="000A4860" w:rsidRDefault="002D2F66" w:rsidP="5986D52C">
            <w:pPr>
              <w:rPr>
                <w:rFonts w:ascii="Arial" w:eastAsia="Arial" w:hAnsi="Arial" w:cs="Arial"/>
                <w:sz w:val="16"/>
                <w:szCs w:val="16"/>
                <w:highlight w:val="yellow"/>
              </w:rPr>
            </w:pPr>
          </w:p>
        </w:tc>
        <w:tc>
          <w:tcPr>
            <w:tcW w:w="4680" w:type="dxa"/>
          </w:tcPr>
          <w:p w14:paraId="4F66D423" w14:textId="10A0211C" w:rsidR="002D2F66" w:rsidRPr="000A4860" w:rsidRDefault="002D2F66" w:rsidP="5986D52C">
            <w:pPr>
              <w:rPr>
                <w:rFonts w:ascii="Arial" w:eastAsia="Arial" w:hAnsi="Arial" w:cs="Arial"/>
                <w:color w:val="404040" w:themeColor="text1" w:themeTint="BF"/>
                <w:sz w:val="16"/>
                <w:szCs w:val="16"/>
                <w:highlight w:val="yellow"/>
              </w:rPr>
            </w:pP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1B27A524">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1B27A524">
        <w:trPr>
          <w:trHeight w:val="260"/>
        </w:trPr>
        <w:tc>
          <w:tcPr>
            <w:tcW w:w="4680" w:type="dxa"/>
          </w:tcPr>
          <w:p w14:paraId="5786B3E1" w14:textId="63E8E9AA" w:rsidR="61FBA80F" w:rsidRPr="0067198B" w:rsidRDefault="00E9521E" w:rsidP="5986D52C">
            <w:pPr>
              <w:spacing w:line="259" w:lineRule="auto"/>
              <w:rPr>
                <w:rFonts w:ascii="Arial" w:hAnsi="Arial" w:cs="Arial"/>
                <w:sz w:val="16"/>
                <w:szCs w:val="16"/>
              </w:rPr>
            </w:pPr>
            <w:r>
              <w:rPr>
                <w:rFonts w:ascii="Arial" w:hAnsi="Arial" w:cs="Arial"/>
                <w:sz w:val="16"/>
                <w:szCs w:val="16"/>
              </w:rPr>
              <w:t>M10</w:t>
            </w:r>
            <w:r w:rsidR="0085140F">
              <w:rPr>
                <w:rFonts w:ascii="Arial" w:hAnsi="Arial" w:cs="Arial"/>
                <w:sz w:val="16"/>
                <w:szCs w:val="16"/>
              </w:rPr>
              <w:t>30</w:t>
            </w:r>
            <w:r>
              <w:rPr>
                <w:rFonts w:ascii="Arial" w:hAnsi="Arial" w:cs="Arial"/>
                <w:sz w:val="16"/>
                <w:szCs w:val="16"/>
              </w:rPr>
              <w:t xml:space="preserve"> </w:t>
            </w:r>
          </w:p>
        </w:tc>
        <w:tc>
          <w:tcPr>
            <w:tcW w:w="4680" w:type="dxa"/>
          </w:tcPr>
          <w:p w14:paraId="0C171B52" w14:textId="2B702E15" w:rsidR="3224D91A" w:rsidRPr="00DB2BFF" w:rsidRDefault="00E9521E" w:rsidP="25900B44">
            <w:pPr>
              <w:rPr>
                <w:rFonts w:ascii="Arial" w:eastAsia="Arial" w:hAnsi="Arial" w:cs="Arial"/>
                <w:sz w:val="16"/>
                <w:szCs w:val="16"/>
              </w:rPr>
            </w:pPr>
            <w:r w:rsidRPr="1B27A524">
              <w:rPr>
                <w:rFonts w:ascii="Arial" w:hAnsi="Arial" w:cs="Arial"/>
                <w:sz w:val="16"/>
                <w:szCs w:val="16"/>
              </w:rPr>
              <w:t>Netw</w:t>
            </w:r>
            <w:r>
              <w:rPr>
                <w:rFonts w:ascii="Arial" w:hAnsi="Arial" w:cs="Arial"/>
                <w:sz w:val="16"/>
                <w:szCs w:val="16"/>
              </w:rPr>
              <w:t>o</w:t>
            </w:r>
            <w:r w:rsidRPr="1B27A524">
              <w:rPr>
                <w:rFonts w:ascii="Arial" w:hAnsi="Arial" w:cs="Arial"/>
                <w:sz w:val="16"/>
                <w:szCs w:val="16"/>
              </w:rPr>
              <w:t>rk isolation</w:t>
            </w:r>
            <w:r w:rsidR="00A61946">
              <w:rPr>
                <w:rFonts w:ascii="Arial" w:hAnsi="Arial" w:cs="Arial"/>
                <w:sz w:val="16"/>
                <w:szCs w:val="16"/>
              </w:rPr>
              <w:t xml:space="preserve">. </w:t>
            </w:r>
            <w:r w:rsidR="1B27A524" w:rsidRPr="1B27A524">
              <w:rPr>
                <w:rFonts w:ascii="Arial" w:eastAsia="Arial" w:hAnsi="Arial" w:cs="Arial"/>
                <w:sz w:val="16"/>
                <w:szCs w:val="16"/>
              </w:rPr>
              <w:t>Deployment architecture should consider physical and virtual isolation from other tenants</w:t>
            </w:r>
          </w:p>
        </w:tc>
      </w:tr>
      <w:tr w:rsidR="1B27A524" w14:paraId="14B1035C" w14:textId="77777777" w:rsidTr="001B4AEB">
        <w:trPr>
          <w:trHeight w:val="300"/>
        </w:trPr>
        <w:tc>
          <w:tcPr>
            <w:tcW w:w="4680" w:type="dxa"/>
          </w:tcPr>
          <w:p w14:paraId="2BC5AED2" w14:textId="326E68E8" w:rsidR="1B27A524" w:rsidRDefault="00091796" w:rsidP="1B27A524">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4C853CC0" w14:textId="0D201202" w:rsidR="1B27A524" w:rsidRDefault="1B27A524" w:rsidP="1B27A524">
            <w:pPr>
              <w:rPr>
                <w:rFonts w:ascii="Arial" w:eastAsia="Arial" w:hAnsi="Arial" w:cs="Arial"/>
                <w:sz w:val="16"/>
                <w:szCs w:val="16"/>
              </w:rPr>
            </w:pPr>
            <w:r w:rsidRPr="1B27A524">
              <w:rPr>
                <w:rFonts w:ascii="Arial" w:eastAsia="Arial" w:hAnsi="Arial" w:cs="Arial"/>
                <w:sz w:val="16"/>
                <w:szCs w:val="16"/>
              </w:rPr>
              <w:t xml:space="preserve">Any traffic going from a security zone to another security zone must be protected with encryption.  Key based user and resource authentication and </w:t>
            </w:r>
            <w:r w:rsidR="00FE2CB6">
              <w:rPr>
                <w:rFonts w:ascii="Arial" w:eastAsia="Arial" w:hAnsi="Arial" w:cs="Arial"/>
                <w:sz w:val="16"/>
                <w:szCs w:val="16"/>
              </w:rPr>
              <w:t>authorization</w:t>
            </w:r>
          </w:p>
        </w:tc>
      </w:tr>
      <w:tr w:rsidR="00144482" w14:paraId="7F47F6A6" w14:textId="77777777" w:rsidTr="001B4AEB">
        <w:trPr>
          <w:trHeight w:val="300"/>
        </w:trPr>
        <w:tc>
          <w:tcPr>
            <w:tcW w:w="4680" w:type="dxa"/>
          </w:tcPr>
          <w:p w14:paraId="68621174" w14:textId="790FD59F" w:rsidR="00144482" w:rsidRDefault="00144482" w:rsidP="00144482">
            <w:pPr>
              <w:spacing w:line="259" w:lineRule="auto"/>
              <w:rPr>
                <w:rFonts w:ascii="Arial" w:eastAsia="Arial" w:hAnsi="Arial" w:cs="Arial"/>
                <w:sz w:val="16"/>
                <w:szCs w:val="16"/>
              </w:rPr>
            </w:pPr>
            <w:r>
              <w:rPr>
                <w:rFonts w:ascii="Arial" w:eastAsia="Arial" w:hAnsi="Arial" w:cs="Arial"/>
                <w:sz w:val="16"/>
                <w:szCs w:val="16"/>
              </w:rPr>
              <w:t>FGM5504</w:t>
            </w:r>
          </w:p>
        </w:tc>
        <w:tc>
          <w:tcPr>
            <w:tcW w:w="4680" w:type="dxa"/>
          </w:tcPr>
          <w:p w14:paraId="15447BA4" w14:textId="6F833BB4" w:rsidR="00144482" w:rsidRPr="1B27A524" w:rsidRDefault="00144482" w:rsidP="00144482">
            <w:pPr>
              <w:rPr>
                <w:rFonts w:ascii="Arial" w:eastAsia="Arial" w:hAnsi="Arial" w:cs="Arial"/>
                <w:sz w:val="16"/>
                <w:szCs w:val="16"/>
              </w:rPr>
            </w:pPr>
            <w:r w:rsidRPr="1B27A524">
              <w:rPr>
                <w:rFonts w:ascii="Arial" w:eastAsia="Arial" w:hAnsi="Arial" w:cs="Arial"/>
                <w:sz w:val="16"/>
                <w:szCs w:val="16"/>
              </w:rPr>
              <w:t xml:space="preserve">Cloud compute, cloud storage and any serverless activity should be isolated from other tenants  </w:t>
            </w:r>
          </w:p>
        </w:tc>
      </w:tr>
      <w:tr w:rsidR="00144482" w14:paraId="46C88984" w14:textId="77777777" w:rsidTr="1B27A524">
        <w:trPr>
          <w:trHeight w:val="300"/>
        </w:trPr>
        <w:tc>
          <w:tcPr>
            <w:tcW w:w="4680" w:type="dxa"/>
          </w:tcPr>
          <w:p w14:paraId="54FDCD39" w14:textId="23E24A0B" w:rsidR="00144482" w:rsidRDefault="00144482" w:rsidP="00144482">
            <w:pPr>
              <w:spacing w:line="259" w:lineRule="auto"/>
              <w:rPr>
                <w:rFonts w:ascii="Arial" w:eastAsia="Arial" w:hAnsi="Arial" w:cs="Arial"/>
                <w:sz w:val="16"/>
                <w:szCs w:val="16"/>
              </w:rPr>
            </w:pPr>
            <w:r>
              <w:rPr>
                <w:rFonts w:ascii="Arial" w:eastAsia="Arial" w:hAnsi="Arial" w:cs="Arial"/>
                <w:sz w:val="16"/>
                <w:szCs w:val="16"/>
              </w:rPr>
              <w:t>FGM5505</w:t>
            </w:r>
          </w:p>
        </w:tc>
        <w:tc>
          <w:tcPr>
            <w:tcW w:w="4680" w:type="dxa"/>
          </w:tcPr>
          <w:p w14:paraId="5D037F07" w14:textId="786A54B2" w:rsidR="00144482" w:rsidRDefault="00144482" w:rsidP="00144482">
            <w:pPr>
              <w:rPr>
                <w:rFonts w:ascii="Arial" w:eastAsia="Arial" w:hAnsi="Arial" w:cs="Arial"/>
                <w:sz w:val="16"/>
                <w:szCs w:val="16"/>
              </w:rPr>
            </w:pPr>
            <w:r w:rsidRPr="1B27A524">
              <w:rPr>
                <w:rFonts w:ascii="Arial" w:eastAsia="Arial" w:hAnsi="Arial" w:cs="Arial"/>
                <w:sz w:val="16"/>
                <w:szCs w:val="16"/>
              </w:rPr>
              <w:t>Hardware mediated  execution environment</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CD012B">
        <w:tc>
          <w:tcPr>
            <w:tcW w:w="4680" w:type="dxa"/>
          </w:tcPr>
          <w:p w14:paraId="68433717" w14:textId="285DF76B" w:rsidR="00EB6DC6" w:rsidRPr="00DB2BFF" w:rsidRDefault="00AB004E"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CD012B">
        <w:tc>
          <w:tcPr>
            <w:tcW w:w="4680" w:type="dxa"/>
          </w:tcPr>
          <w:p w14:paraId="45D6E1AE" w14:textId="6205E733" w:rsidR="00EB6DC6" w:rsidRPr="00DB2BFF" w:rsidRDefault="00EB6DC6" w:rsidP="00CD012B">
            <w:pPr>
              <w:spacing w:line="259" w:lineRule="auto"/>
              <w:rPr>
                <w:sz w:val="22"/>
                <w:szCs w:val="22"/>
              </w:rPr>
            </w:pPr>
          </w:p>
        </w:tc>
        <w:tc>
          <w:tcPr>
            <w:tcW w:w="4680" w:type="dxa"/>
          </w:tcPr>
          <w:p w14:paraId="5F9CA793" w14:textId="71FF1642" w:rsidR="00EB6DC6" w:rsidRPr="00DB2BFF" w:rsidRDefault="00EB6DC6" w:rsidP="00CD012B">
            <w:pPr>
              <w:rPr>
                <w:rFonts w:ascii="Arial" w:eastAsia="Arial" w:hAnsi="Arial" w:cs="Arial"/>
                <w:sz w:val="16"/>
                <w:szCs w:val="16"/>
              </w:rPr>
            </w:pP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lastRenderedPageBreak/>
              <w:t>Name</w:t>
            </w:r>
          </w:p>
        </w:tc>
        <w:tc>
          <w:tcPr>
            <w:tcW w:w="4680" w:type="dxa"/>
          </w:tcPr>
          <w:p w14:paraId="50470CB4"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CD012B">
            <w:pPr>
              <w:rPr>
                <w:rFonts w:ascii="Arial" w:eastAsia="Arial" w:hAnsi="Arial" w:cs="Arial"/>
                <w:sz w:val="22"/>
                <w:szCs w:val="22"/>
              </w:rPr>
            </w:pPr>
            <w:r>
              <w:rPr>
                <w:rFonts w:ascii="Arial" w:eastAsia="Arial" w:hAnsi="Arial" w:cs="Arial"/>
                <w:b/>
                <w:bCs/>
                <w:sz w:val="22"/>
                <w:szCs w:val="22"/>
              </w:rPr>
              <w:t>Detects</w:t>
            </w:r>
          </w:p>
        </w:tc>
      </w:tr>
      <w:tr w:rsidR="00D34CA9" w:rsidRPr="00DB2BFF" w14:paraId="0375BB01" w14:textId="77777777" w:rsidTr="57A5B2AB">
        <w:tc>
          <w:tcPr>
            <w:tcW w:w="4680" w:type="dxa"/>
          </w:tcPr>
          <w:p w14:paraId="13F3B693" w14:textId="3409424B" w:rsidR="00D34CA9" w:rsidRPr="00DB2BFF" w:rsidRDefault="00D34CA9" w:rsidP="00D34CA9">
            <w:pPr>
              <w:spacing w:line="259" w:lineRule="auto"/>
              <w:rPr>
                <w:sz w:val="22"/>
                <w:szCs w:val="22"/>
              </w:rPr>
            </w:pPr>
          </w:p>
        </w:tc>
        <w:tc>
          <w:tcPr>
            <w:tcW w:w="4680" w:type="dxa"/>
          </w:tcPr>
          <w:p w14:paraId="07AFEF23" w14:textId="2B7EA193" w:rsidR="00D34CA9" w:rsidRPr="00DB2BFF" w:rsidRDefault="00D34CA9" w:rsidP="00D34CA9">
            <w:pPr>
              <w:rPr>
                <w:rFonts w:ascii="Arial" w:eastAsia="Arial" w:hAnsi="Arial" w:cs="Arial"/>
                <w:sz w:val="16"/>
                <w:szCs w:val="16"/>
              </w:rPr>
            </w:pPr>
          </w:p>
        </w:tc>
      </w:tr>
      <w:tr w:rsidR="00D34CA9" w14:paraId="29E574CD" w14:textId="77777777" w:rsidTr="57A5B2AB">
        <w:tc>
          <w:tcPr>
            <w:tcW w:w="4680" w:type="dxa"/>
          </w:tcPr>
          <w:p w14:paraId="11BC7EB8" w14:textId="6E183C7B" w:rsidR="00D34CA9" w:rsidRDefault="00D34CA9" w:rsidP="00D34CA9">
            <w:pPr>
              <w:spacing w:line="259" w:lineRule="auto"/>
              <w:rPr>
                <w:rFonts w:ascii="Arial" w:eastAsia="Arial" w:hAnsi="Arial" w:cs="Arial"/>
                <w:sz w:val="16"/>
                <w:szCs w:val="16"/>
              </w:rPr>
            </w:pPr>
          </w:p>
        </w:tc>
        <w:tc>
          <w:tcPr>
            <w:tcW w:w="4680" w:type="dxa"/>
          </w:tcPr>
          <w:p w14:paraId="454F5222" w14:textId="3F59AB95" w:rsidR="00D34CA9" w:rsidRDefault="00D34CA9" w:rsidP="00D34CA9">
            <w:pPr>
              <w:rPr>
                <w:rFonts w:ascii="Arial" w:eastAsia="Arial" w:hAnsi="Arial" w:cs="Arial"/>
                <w:sz w:val="16"/>
                <w:szCs w:val="16"/>
              </w:rPr>
            </w:pP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CD012B">
        <w:tc>
          <w:tcPr>
            <w:tcW w:w="4680" w:type="dxa"/>
          </w:tcPr>
          <w:p w14:paraId="236E1F9B"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CD012B">
        <w:tc>
          <w:tcPr>
            <w:tcW w:w="4680" w:type="dxa"/>
          </w:tcPr>
          <w:p w14:paraId="1E872D12" w14:textId="384113CC" w:rsidR="00050DAF" w:rsidRPr="00DB2BFF" w:rsidRDefault="00050DAF" w:rsidP="00CD012B">
            <w:pPr>
              <w:spacing w:line="259" w:lineRule="auto"/>
              <w:rPr>
                <w:sz w:val="16"/>
                <w:szCs w:val="16"/>
              </w:rPr>
            </w:pPr>
          </w:p>
        </w:tc>
        <w:tc>
          <w:tcPr>
            <w:tcW w:w="4680" w:type="dxa"/>
          </w:tcPr>
          <w:p w14:paraId="42D8BC64" w14:textId="32D53438" w:rsidR="00050DAF" w:rsidRPr="00DB2BFF" w:rsidRDefault="00050DAF" w:rsidP="00CD012B">
            <w:pPr>
              <w:rPr>
                <w:rFonts w:ascii="Arial" w:eastAsia="Arial" w:hAnsi="Arial" w:cs="Arial"/>
                <w:sz w:val="16"/>
                <w:szCs w:val="16"/>
              </w:rPr>
            </w:pP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386"/>
        <w:gridCol w:w="4964"/>
      </w:tblGrid>
      <w:tr w:rsidR="00770F4A" w:rsidRPr="0028241D" w14:paraId="486E69D1" w14:textId="77777777" w:rsidTr="001B4AEB">
        <w:tc>
          <w:tcPr>
            <w:tcW w:w="4675" w:type="dxa"/>
          </w:tcPr>
          <w:p w14:paraId="14B64D4A" w14:textId="77777777" w:rsidR="00770F4A" w:rsidRPr="0028241D" w:rsidRDefault="00770F4A" w:rsidP="00770F4A">
            <w:pPr>
              <w:spacing w:after="160" w:line="259" w:lineRule="auto"/>
              <w:rPr>
                <w:rFonts w:ascii="Arial" w:hAnsi="Arial" w:cs="Arial"/>
                <w:sz w:val="20"/>
                <w:szCs w:val="20"/>
              </w:rPr>
            </w:pPr>
            <w:r w:rsidRPr="0028241D">
              <w:rPr>
                <w:rFonts w:ascii="Arial" w:hAnsi="Arial" w:cs="Arial"/>
                <w:sz w:val="20"/>
                <w:szCs w:val="20"/>
              </w:rPr>
              <w:t>Name</w:t>
            </w:r>
          </w:p>
        </w:tc>
        <w:tc>
          <w:tcPr>
            <w:tcW w:w="4675" w:type="dxa"/>
          </w:tcPr>
          <w:p w14:paraId="30BFC828" w14:textId="77777777" w:rsidR="00770F4A" w:rsidRPr="0028241D" w:rsidRDefault="00770F4A" w:rsidP="00770F4A">
            <w:pPr>
              <w:spacing w:after="160" w:line="259" w:lineRule="auto"/>
              <w:rPr>
                <w:rFonts w:ascii="Arial" w:hAnsi="Arial" w:cs="Arial"/>
                <w:sz w:val="20"/>
                <w:szCs w:val="20"/>
              </w:rPr>
            </w:pPr>
            <w:r w:rsidRPr="0028241D">
              <w:rPr>
                <w:rFonts w:ascii="Arial" w:hAnsi="Arial" w:cs="Arial"/>
                <w:sz w:val="20"/>
                <w:szCs w:val="20"/>
              </w:rPr>
              <w:t>URL</w:t>
            </w:r>
          </w:p>
        </w:tc>
      </w:tr>
      <w:tr w:rsidR="00246980" w:rsidRPr="0028241D" w14:paraId="7632A86C" w14:textId="77777777" w:rsidTr="001B4AEB">
        <w:tc>
          <w:tcPr>
            <w:tcW w:w="4675" w:type="dxa"/>
          </w:tcPr>
          <w:p w14:paraId="4EDE551C" w14:textId="7AEE28A1" w:rsidR="00246980" w:rsidRPr="0028241D" w:rsidRDefault="007E0E96" w:rsidP="0020430B">
            <w:pPr>
              <w:spacing w:after="160" w:line="259" w:lineRule="auto"/>
              <w:rPr>
                <w:rFonts w:ascii="Arial" w:hAnsi="Arial" w:cs="Arial"/>
                <w:sz w:val="20"/>
                <w:szCs w:val="20"/>
              </w:rPr>
            </w:pPr>
            <w:r w:rsidRPr="0028241D">
              <w:rPr>
                <w:rFonts w:ascii="Arial" w:hAnsi="Arial" w:cs="Arial"/>
                <w:sz w:val="20"/>
                <w:szCs w:val="20"/>
              </w:rPr>
              <w:t xml:space="preserve">S. Sahoo, S. K. Mishra, B. Sahoo &amp; A. K. </w:t>
            </w:r>
            <w:proofErr w:type="spellStart"/>
            <w:r w:rsidRPr="0028241D">
              <w:rPr>
                <w:rFonts w:ascii="Arial" w:hAnsi="Arial" w:cs="Arial"/>
                <w:sz w:val="20"/>
                <w:szCs w:val="20"/>
              </w:rPr>
              <w:t>Turuk</w:t>
            </w:r>
            <w:proofErr w:type="spellEnd"/>
            <w:r w:rsidRPr="0028241D">
              <w:rPr>
                <w:rFonts w:ascii="Arial" w:hAnsi="Arial" w:cs="Arial"/>
                <w:sz w:val="20"/>
                <w:szCs w:val="20"/>
              </w:rPr>
              <w:t>, “</w:t>
            </w:r>
            <w:r w:rsidR="003C018E" w:rsidRPr="0028241D">
              <w:rPr>
                <w:rFonts w:ascii="Arial" w:hAnsi="Arial" w:cs="Arial"/>
                <w:i/>
                <w:iCs/>
                <w:sz w:val="20"/>
                <w:szCs w:val="20"/>
              </w:rPr>
              <w:t>Co-resident Attack in Cloud Computing: An Overview</w:t>
            </w:r>
            <w:r w:rsidR="003C018E" w:rsidRPr="0028241D">
              <w:rPr>
                <w:rFonts w:ascii="Arial" w:hAnsi="Arial" w:cs="Arial"/>
                <w:sz w:val="20"/>
                <w:szCs w:val="20"/>
              </w:rPr>
              <w:t>”</w:t>
            </w:r>
            <w:r w:rsidR="0020430B" w:rsidRPr="0028241D">
              <w:rPr>
                <w:rFonts w:ascii="Arial" w:hAnsi="Arial" w:cs="Arial"/>
                <w:sz w:val="20"/>
                <w:szCs w:val="20"/>
              </w:rPr>
              <w:t>, Encyclopedia of Big Data Technologies, March 2018</w:t>
            </w:r>
          </w:p>
        </w:tc>
        <w:tc>
          <w:tcPr>
            <w:tcW w:w="4675" w:type="dxa"/>
          </w:tcPr>
          <w:p w14:paraId="4273F960" w14:textId="7D9C3D05" w:rsidR="00246980" w:rsidRPr="0028241D" w:rsidRDefault="000652EA" w:rsidP="00246980">
            <w:pPr>
              <w:spacing w:after="160" w:line="259" w:lineRule="auto"/>
              <w:rPr>
                <w:rFonts w:ascii="Arial" w:hAnsi="Arial" w:cs="Arial"/>
                <w:sz w:val="20"/>
                <w:szCs w:val="20"/>
              </w:rPr>
            </w:pPr>
            <w:r w:rsidRPr="0028241D">
              <w:rPr>
                <w:rFonts w:ascii="Arial" w:hAnsi="Arial" w:cs="Arial"/>
                <w:sz w:val="20"/>
                <w:szCs w:val="20"/>
              </w:rPr>
              <w:t xml:space="preserve">https://link.springer.com/content/pdf/10.1007%2F978-3-319-63962-8_322-1.pdf </w:t>
            </w:r>
          </w:p>
        </w:tc>
      </w:tr>
      <w:tr w:rsidR="00F003B6" w:rsidRPr="0028241D" w14:paraId="31EE072B" w14:textId="77777777" w:rsidTr="001B4AEB">
        <w:tc>
          <w:tcPr>
            <w:tcW w:w="4675" w:type="dxa"/>
          </w:tcPr>
          <w:p w14:paraId="2701A461" w14:textId="41A9CC45" w:rsidR="00F003B6" w:rsidRPr="0028241D" w:rsidRDefault="0052605D" w:rsidP="0052605D">
            <w:pPr>
              <w:spacing w:after="160" w:line="259" w:lineRule="auto"/>
              <w:rPr>
                <w:rFonts w:ascii="Arial" w:hAnsi="Arial" w:cs="Arial"/>
                <w:sz w:val="20"/>
                <w:szCs w:val="20"/>
              </w:rPr>
            </w:pPr>
            <w:commentRangeStart w:id="1"/>
            <w:r w:rsidRPr="0028241D">
              <w:rPr>
                <w:rFonts w:ascii="Arial" w:hAnsi="Arial" w:cs="Arial"/>
                <w:sz w:val="20"/>
                <w:szCs w:val="20"/>
              </w:rPr>
              <w:t xml:space="preserve">T. </w:t>
            </w:r>
            <w:proofErr w:type="spellStart"/>
            <w:r w:rsidRPr="0028241D">
              <w:rPr>
                <w:rFonts w:ascii="Arial" w:hAnsi="Arial" w:cs="Arial"/>
                <w:sz w:val="20"/>
                <w:szCs w:val="20"/>
              </w:rPr>
              <w:t>Ristenpart</w:t>
            </w:r>
            <w:proofErr w:type="spellEnd"/>
            <w:r w:rsidRPr="0028241D">
              <w:rPr>
                <w:rFonts w:ascii="Arial" w:hAnsi="Arial" w:cs="Arial"/>
                <w:sz w:val="20"/>
                <w:szCs w:val="20"/>
              </w:rPr>
              <w:t xml:space="preserve">, E. </w:t>
            </w:r>
            <w:proofErr w:type="spellStart"/>
            <w:r w:rsidRPr="0028241D">
              <w:rPr>
                <w:rFonts w:ascii="Arial" w:hAnsi="Arial" w:cs="Arial"/>
                <w:sz w:val="20"/>
                <w:szCs w:val="20"/>
              </w:rPr>
              <w:t>Tromer</w:t>
            </w:r>
            <w:proofErr w:type="spellEnd"/>
            <w:r w:rsidRPr="0028241D">
              <w:rPr>
                <w:rFonts w:ascii="Arial" w:hAnsi="Arial" w:cs="Arial"/>
                <w:sz w:val="20"/>
                <w:szCs w:val="20"/>
              </w:rPr>
              <w:t xml:space="preserve">, H. </w:t>
            </w:r>
            <w:proofErr w:type="spellStart"/>
            <w:r w:rsidRPr="0028241D">
              <w:rPr>
                <w:rFonts w:ascii="Arial" w:hAnsi="Arial" w:cs="Arial"/>
                <w:sz w:val="20"/>
                <w:szCs w:val="20"/>
              </w:rPr>
              <w:t>Shacham</w:t>
            </w:r>
            <w:proofErr w:type="spellEnd"/>
            <w:r w:rsidRPr="0028241D">
              <w:rPr>
                <w:rFonts w:ascii="Arial" w:hAnsi="Arial" w:cs="Arial"/>
                <w:sz w:val="20"/>
                <w:szCs w:val="20"/>
              </w:rPr>
              <w:t>, S. Savage, “</w:t>
            </w:r>
            <w:r w:rsidR="00961504" w:rsidRPr="0028241D">
              <w:rPr>
                <w:rFonts w:ascii="Arial" w:hAnsi="Arial" w:cs="Arial"/>
                <w:sz w:val="20"/>
                <w:szCs w:val="20"/>
              </w:rPr>
              <w:t xml:space="preserve">Hey, you, get off of my cloud: exploring information leakage in third-party compute clouds”, In CCS '09: Proceedings of the 16th ACM conference on Computer and communications </w:t>
            </w:r>
            <w:commentRangeEnd w:id="1"/>
            <w:r w:rsidR="00154F68" w:rsidRPr="0028241D">
              <w:rPr>
                <w:rStyle w:val="CommentReference"/>
                <w:rFonts w:ascii="Arial" w:hAnsi="Arial" w:cs="Arial"/>
                <w:sz w:val="20"/>
                <w:szCs w:val="20"/>
              </w:rPr>
              <w:commentReference w:id="1"/>
            </w:r>
            <w:r w:rsidR="00961504" w:rsidRPr="0028241D">
              <w:rPr>
                <w:rFonts w:ascii="Arial" w:hAnsi="Arial" w:cs="Arial"/>
                <w:sz w:val="20"/>
                <w:szCs w:val="20"/>
              </w:rPr>
              <w:t>security, November 2009 Pages 199–212</w:t>
            </w:r>
          </w:p>
        </w:tc>
        <w:tc>
          <w:tcPr>
            <w:tcW w:w="4675" w:type="dxa"/>
          </w:tcPr>
          <w:p w14:paraId="050BD4C4" w14:textId="53213BC1" w:rsidR="00F003B6" w:rsidRPr="0028241D" w:rsidRDefault="006E4D3A" w:rsidP="00F003B6">
            <w:pPr>
              <w:spacing w:after="160" w:line="259" w:lineRule="auto"/>
              <w:rPr>
                <w:rFonts w:ascii="Arial" w:hAnsi="Arial" w:cs="Arial"/>
                <w:sz w:val="20"/>
                <w:szCs w:val="20"/>
              </w:rPr>
            </w:pPr>
            <w:r w:rsidRPr="0028241D">
              <w:rPr>
                <w:rFonts w:ascii="Arial" w:hAnsi="Arial" w:cs="Arial"/>
                <w:sz w:val="20"/>
                <w:szCs w:val="20"/>
              </w:rPr>
              <w:t xml:space="preserve">https://dl.acm.org/doi/10.1145/1653662.1653687 </w:t>
            </w:r>
          </w:p>
        </w:tc>
      </w:tr>
    </w:tbl>
    <w:p w14:paraId="08518A9F" w14:textId="3569FA14" w:rsidR="004F47C0" w:rsidRDefault="004F47C0" w:rsidP="00050DAF">
      <w:pPr>
        <w:pStyle w:val="paragraph"/>
        <w:spacing w:before="0" w:beforeAutospacing="0" w:after="0" w:afterAutospacing="0"/>
        <w:rPr>
          <w:rFonts w:ascii="Arial" w:eastAsia="Arial" w:hAnsi="Arial" w:cs="Arial"/>
          <w:sz w:val="22"/>
          <w:szCs w:val="22"/>
        </w:rPr>
      </w:pPr>
    </w:p>
    <w:sectPr w:rsidR="004F47C0"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24T12:24:00Z" w:initials="MV">
    <w:p w14:paraId="6FEB5BB9" w14:textId="77777777" w:rsidR="00203357" w:rsidRDefault="00203357" w:rsidP="0076795C">
      <w:pPr>
        <w:pStyle w:val="CommentText"/>
      </w:pPr>
      <w:r>
        <w:rPr>
          <w:rStyle w:val="CommentReference"/>
        </w:rPr>
        <w:annotationRef/>
      </w:r>
      <w:r>
        <w:rPr>
          <w:color w:val="212529"/>
        </w:rPr>
        <w:t>"... the cloud is evolving into newer models that can be tailored to different telecom needs. As per one of the reports by Analsys Mason mentions that 5G and open networks will create “multiple cloud domains such as mobile core cloud, vRAN cloud, and network and enterprise edge clouds.” Edge cloud is where the public cloud stack runs on-premises at the Edge data center (as in the case of AWS Wavelength) without having to shift all the data to a centralized cloud server</w:t>
      </w:r>
      <w:r>
        <w:t xml:space="preserve"> </w:t>
      </w:r>
    </w:p>
  </w:comment>
  <w:comment w:id="1" w:author="M. Vanderveen" w:date="2022-06-25T12:35:00Z" w:initials="MV">
    <w:p w14:paraId="01878A8D" w14:textId="77777777" w:rsidR="00154F68" w:rsidRDefault="00154F68" w:rsidP="00887925">
      <w:pPr>
        <w:pStyle w:val="CommentText"/>
      </w:pPr>
      <w:r>
        <w:rPr>
          <w:rStyle w:val="CommentReference"/>
        </w:rPr>
        <w:annotationRef/>
      </w:r>
      <w:r>
        <w:t>From Mari Spina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B5BB9" w15:done="0"/>
  <w15:commentEx w15:paraId="01878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B94" w16cex:dateUtc="2022-06-24T16:24:00Z"/>
  <w16cex:commentExtensible w16cex:durableId="26617F7D" w16cex:dateUtc="2022-06-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B5BB9" w16cid:durableId="26602B94"/>
  <w16cid:commentId w16cid:paraId="01878A8D" w16cid:durableId="26617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80CE" w14:textId="77777777" w:rsidR="00597E44" w:rsidRDefault="00597E44" w:rsidP="00684328">
      <w:r>
        <w:separator/>
      </w:r>
    </w:p>
  </w:endnote>
  <w:endnote w:type="continuationSeparator" w:id="0">
    <w:p w14:paraId="075C7909" w14:textId="77777777" w:rsidR="00597E44" w:rsidRDefault="00597E44" w:rsidP="00684328">
      <w:r>
        <w:continuationSeparator/>
      </w:r>
    </w:p>
  </w:endnote>
  <w:endnote w:type="continuationNotice" w:id="1">
    <w:p w14:paraId="5BD5ED35" w14:textId="77777777" w:rsidR="00597E44" w:rsidRDefault="00597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CDAA9" w14:textId="77777777" w:rsidR="00597E44" w:rsidRDefault="00597E44" w:rsidP="00684328">
      <w:r>
        <w:separator/>
      </w:r>
    </w:p>
  </w:footnote>
  <w:footnote w:type="continuationSeparator" w:id="0">
    <w:p w14:paraId="224C91B2" w14:textId="77777777" w:rsidR="00597E44" w:rsidRDefault="00597E44" w:rsidP="00684328">
      <w:r>
        <w:continuationSeparator/>
      </w:r>
    </w:p>
  </w:footnote>
  <w:footnote w:type="continuationNotice" w:id="1">
    <w:p w14:paraId="76C4D8FC" w14:textId="77777777" w:rsidR="00597E44" w:rsidRDefault="00597E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652EA"/>
    <w:rsid w:val="000768A8"/>
    <w:rsid w:val="000820C2"/>
    <w:rsid w:val="00091796"/>
    <w:rsid w:val="00094EF1"/>
    <w:rsid w:val="00095BA5"/>
    <w:rsid w:val="00095CF1"/>
    <w:rsid w:val="000A4860"/>
    <w:rsid w:val="000E6014"/>
    <w:rsid w:val="000F3FE0"/>
    <w:rsid w:val="00102859"/>
    <w:rsid w:val="001036B2"/>
    <w:rsid w:val="00122B07"/>
    <w:rsid w:val="00126D0F"/>
    <w:rsid w:val="00144482"/>
    <w:rsid w:val="00146E94"/>
    <w:rsid w:val="00154F68"/>
    <w:rsid w:val="0016068E"/>
    <w:rsid w:val="0017483E"/>
    <w:rsid w:val="0017772E"/>
    <w:rsid w:val="001A4D05"/>
    <w:rsid w:val="001A5A73"/>
    <w:rsid w:val="001A7953"/>
    <w:rsid w:val="001B4AEB"/>
    <w:rsid w:val="001E4B3B"/>
    <w:rsid w:val="001E54FC"/>
    <w:rsid w:val="001F3DF5"/>
    <w:rsid w:val="00203357"/>
    <w:rsid w:val="0020430B"/>
    <w:rsid w:val="002057B9"/>
    <w:rsid w:val="00213376"/>
    <w:rsid w:val="0021640F"/>
    <w:rsid w:val="002170E5"/>
    <w:rsid w:val="002304E9"/>
    <w:rsid w:val="0024470B"/>
    <w:rsid w:val="00246980"/>
    <w:rsid w:val="0028241D"/>
    <w:rsid w:val="00297AF0"/>
    <w:rsid w:val="002B03B3"/>
    <w:rsid w:val="002B0434"/>
    <w:rsid w:val="002C3F37"/>
    <w:rsid w:val="002D2F66"/>
    <w:rsid w:val="002D30E5"/>
    <w:rsid w:val="002D38B9"/>
    <w:rsid w:val="002E1A0F"/>
    <w:rsid w:val="002E5355"/>
    <w:rsid w:val="002F3081"/>
    <w:rsid w:val="0030258D"/>
    <w:rsid w:val="003268DB"/>
    <w:rsid w:val="00341519"/>
    <w:rsid w:val="00350EFC"/>
    <w:rsid w:val="0038655D"/>
    <w:rsid w:val="00390E5A"/>
    <w:rsid w:val="003B30A1"/>
    <w:rsid w:val="003C018E"/>
    <w:rsid w:val="003C184C"/>
    <w:rsid w:val="003D29D0"/>
    <w:rsid w:val="003D6861"/>
    <w:rsid w:val="003D6950"/>
    <w:rsid w:val="00402818"/>
    <w:rsid w:val="00402DA4"/>
    <w:rsid w:val="00441A47"/>
    <w:rsid w:val="004467CF"/>
    <w:rsid w:val="0045548A"/>
    <w:rsid w:val="00483DE2"/>
    <w:rsid w:val="00495FD7"/>
    <w:rsid w:val="004A3076"/>
    <w:rsid w:val="004A76DF"/>
    <w:rsid w:val="004C71F3"/>
    <w:rsid w:val="004D045C"/>
    <w:rsid w:val="004D0503"/>
    <w:rsid w:val="004E0E4B"/>
    <w:rsid w:val="004E68DA"/>
    <w:rsid w:val="004F47C0"/>
    <w:rsid w:val="005044B9"/>
    <w:rsid w:val="005071A3"/>
    <w:rsid w:val="00521C31"/>
    <w:rsid w:val="0052460E"/>
    <w:rsid w:val="0052605D"/>
    <w:rsid w:val="00532045"/>
    <w:rsid w:val="00534FB0"/>
    <w:rsid w:val="005561EE"/>
    <w:rsid w:val="00563136"/>
    <w:rsid w:val="00595F29"/>
    <w:rsid w:val="00597E44"/>
    <w:rsid w:val="005A02B0"/>
    <w:rsid w:val="005A5E1C"/>
    <w:rsid w:val="005B49E2"/>
    <w:rsid w:val="005C20B9"/>
    <w:rsid w:val="005C3F80"/>
    <w:rsid w:val="005E624D"/>
    <w:rsid w:val="005F4980"/>
    <w:rsid w:val="0061115D"/>
    <w:rsid w:val="006276C3"/>
    <w:rsid w:val="0063338D"/>
    <w:rsid w:val="0064279D"/>
    <w:rsid w:val="00642EA0"/>
    <w:rsid w:val="00651E89"/>
    <w:rsid w:val="00655C5B"/>
    <w:rsid w:val="0067198B"/>
    <w:rsid w:val="00683CA7"/>
    <w:rsid w:val="00684328"/>
    <w:rsid w:val="006C3194"/>
    <w:rsid w:val="006C6EB3"/>
    <w:rsid w:val="006D7732"/>
    <w:rsid w:val="006E4D3A"/>
    <w:rsid w:val="006F4FA3"/>
    <w:rsid w:val="007001DA"/>
    <w:rsid w:val="0071530B"/>
    <w:rsid w:val="0073644D"/>
    <w:rsid w:val="0077094F"/>
    <w:rsid w:val="00770F4A"/>
    <w:rsid w:val="0077156F"/>
    <w:rsid w:val="00787649"/>
    <w:rsid w:val="00791360"/>
    <w:rsid w:val="007B5448"/>
    <w:rsid w:val="007C087F"/>
    <w:rsid w:val="007C6E0D"/>
    <w:rsid w:val="007E0E96"/>
    <w:rsid w:val="00800210"/>
    <w:rsid w:val="008049EB"/>
    <w:rsid w:val="00822ACE"/>
    <w:rsid w:val="0082392D"/>
    <w:rsid w:val="0085140F"/>
    <w:rsid w:val="008604CF"/>
    <w:rsid w:val="00876329"/>
    <w:rsid w:val="008B5F90"/>
    <w:rsid w:val="008B61B9"/>
    <w:rsid w:val="008B6CDE"/>
    <w:rsid w:val="008C47D0"/>
    <w:rsid w:val="008D4473"/>
    <w:rsid w:val="008E2A06"/>
    <w:rsid w:val="008E2CA2"/>
    <w:rsid w:val="008E34A7"/>
    <w:rsid w:val="008F6BA9"/>
    <w:rsid w:val="00901A3F"/>
    <w:rsid w:val="00922A49"/>
    <w:rsid w:val="00926A04"/>
    <w:rsid w:val="00935BFC"/>
    <w:rsid w:val="00943D98"/>
    <w:rsid w:val="00943FE7"/>
    <w:rsid w:val="00945012"/>
    <w:rsid w:val="00950B69"/>
    <w:rsid w:val="00961504"/>
    <w:rsid w:val="009833CC"/>
    <w:rsid w:val="00983A82"/>
    <w:rsid w:val="00995459"/>
    <w:rsid w:val="009A351F"/>
    <w:rsid w:val="009A647D"/>
    <w:rsid w:val="009C2D05"/>
    <w:rsid w:val="009C7F6D"/>
    <w:rsid w:val="009E5CB4"/>
    <w:rsid w:val="009F4A04"/>
    <w:rsid w:val="00A02388"/>
    <w:rsid w:val="00A02679"/>
    <w:rsid w:val="00A151F0"/>
    <w:rsid w:val="00A43A6B"/>
    <w:rsid w:val="00A61946"/>
    <w:rsid w:val="00A61C28"/>
    <w:rsid w:val="00A62059"/>
    <w:rsid w:val="00A6505C"/>
    <w:rsid w:val="00A94926"/>
    <w:rsid w:val="00AA4029"/>
    <w:rsid w:val="00AA5087"/>
    <w:rsid w:val="00AB004E"/>
    <w:rsid w:val="00AB00E6"/>
    <w:rsid w:val="00AB5E23"/>
    <w:rsid w:val="00AE59A9"/>
    <w:rsid w:val="00AF06DC"/>
    <w:rsid w:val="00B106F4"/>
    <w:rsid w:val="00B204B6"/>
    <w:rsid w:val="00B273FB"/>
    <w:rsid w:val="00B33E5F"/>
    <w:rsid w:val="00B45D0F"/>
    <w:rsid w:val="00B62750"/>
    <w:rsid w:val="00B64733"/>
    <w:rsid w:val="00B87055"/>
    <w:rsid w:val="00B92366"/>
    <w:rsid w:val="00BA2D65"/>
    <w:rsid w:val="00BB0650"/>
    <w:rsid w:val="00BB601B"/>
    <w:rsid w:val="00BD0ABE"/>
    <w:rsid w:val="00BE61CA"/>
    <w:rsid w:val="00BF423B"/>
    <w:rsid w:val="00C22712"/>
    <w:rsid w:val="00C434C8"/>
    <w:rsid w:val="00C60071"/>
    <w:rsid w:val="00C605AB"/>
    <w:rsid w:val="00CA5290"/>
    <w:rsid w:val="00CB73D0"/>
    <w:rsid w:val="00CC217C"/>
    <w:rsid w:val="00D2209F"/>
    <w:rsid w:val="00D24AD7"/>
    <w:rsid w:val="00D32802"/>
    <w:rsid w:val="00D34CA9"/>
    <w:rsid w:val="00D5062E"/>
    <w:rsid w:val="00D55C1B"/>
    <w:rsid w:val="00D65606"/>
    <w:rsid w:val="00D7138A"/>
    <w:rsid w:val="00D875C9"/>
    <w:rsid w:val="00D977F8"/>
    <w:rsid w:val="00DA1E92"/>
    <w:rsid w:val="00DA6E17"/>
    <w:rsid w:val="00DB149D"/>
    <w:rsid w:val="00DB2BFF"/>
    <w:rsid w:val="00DC2FAD"/>
    <w:rsid w:val="00DD0F97"/>
    <w:rsid w:val="00DE4EDC"/>
    <w:rsid w:val="00DF00DF"/>
    <w:rsid w:val="00E1076A"/>
    <w:rsid w:val="00E33E61"/>
    <w:rsid w:val="00E410E7"/>
    <w:rsid w:val="00E46C36"/>
    <w:rsid w:val="00E56553"/>
    <w:rsid w:val="00E76C27"/>
    <w:rsid w:val="00E827BF"/>
    <w:rsid w:val="00E84E10"/>
    <w:rsid w:val="00E858AD"/>
    <w:rsid w:val="00E85D5F"/>
    <w:rsid w:val="00E87705"/>
    <w:rsid w:val="00E9521E"/>
    <w:rsid w:val="00EB3406"/>
    <w:rsid w:val="00EB45B4"/>
    <w:rsid w:val="00EB6DC6"/>
    <w:rsid w:val="00EC20A3"/>
    <w:rsid w:val="00EE476F"/>
    <w:rsid w:val="00EE772E"/>
    <w:rsid w:val="00F003B6"/>
    <w:rsid w:val="00F03693"/>
    <w:rsid w:val="00F149D8"/>
    <w:rsid w:val="00F1771F"/>
    <w:rsid w:val="00F44117"/>
    <w:rsid w:val="00F56745"/>
    <w:rsid w:val="00F67BD1"/>
    <w:rsid w:val="00F75C35"/>
    <w:rsid w:val="00FA28C1"/>
    <w:rsid w:val="00FC061C"/>
    <w:rsid w:val="00FD0D84"/>
    <w:rsid w:val="00FD5E37"/>
    <w:rsid w:val="00FD5EFA"/>
    <w:rsid w:val="00FE2CB6"/>
    <w:rsid w:val="00FF4ECF"/>
    <w:rsid w:val="021C66DA"/>
    <w:rsid w:val="0272C9E8"/>
    <w:rsid w:val="07561C29"/>
    <w:rsid w:val="077E602C"/>
    <w:rsid w:val="08041386"/>
    <w:rsid w:val="097BA554"/>
    <w:rsid w:val="0E914039"/>
    <w:rsid w:val="0F39020C"/>
    <w:rsid w:val="121B3D24"/>
    <w:rsid w:val="16410265"/>
    <w:rsid w:val="1B27A524"/>
    <w:rsid w:val="1DAF4AF2"/>
    <w:rsid w:val="1DECE754"/>
    <w:rsid w:val="1F81FE99"/>
    <w:rsid w:val="20E6EBB4"/>
    <w:rsid w:val="21D40D08"/>
    <w:rsid w:val="233BD557"/>
    <w:rsid w:val="24556FBC"/>
    <w:rsid w:val="25900B44"/>
    <w:rsid w:val="2AEDB5F6"/>
    <w:rsid w:val="2CEB8C05"/>
    <w:rsid w:val="2E11BB01"/>
    <w:rsid w:val="2F6E33CC"/>
    <w:rsid w:val="303BD9B3"/>
    <w:rsid w:val="311ACA67"/>
    <w:rsid w:val="3224D91A"/>
    <w:rsid w:val="32412287"/>
    <w:rsid w:val="36E1FE7D"/>
    <w:rsid w:val="37743E88"/>
    <w:rsid w:val="387CC280"/>
    <w:rsid w:val="38B7E029"/>
    <w:rsid w:val="39AD98E6"/>
    <w:rsid w:val="3A199F3F"/>
    <w:rsid w:val="3C724F4D"/>
    <w:rsid w:val="3D6A685E"/>
    <w:rsid w:val="3EDC4A28"/>
    <w:rsid w:val="3FBBD3EE"/>
    <w:rsid w:val="40A61E7F"/>
    <w:rsid w:val="40AEC94D"/>
    <w:rsid w:val="42E190D1"/>
    <w:rsid w:val="4518897A"/>
    <w:rsid w:val="47E47B4E"/>
    <w:rsid w:val="4B0E0084"/>
    <w:rsid w:val="4C7B8E5E"/>
    <w:rsid w:val="4D307087"/>
    <w:rsid w:val="4D386E0B"/>
    <w:rsid w:val="4EE4027F"/>
    <w:rsid w:val="4FB803A7"/>
    <w:rsid w:val="50A64DD7"/>
    <w:rsid w:val="50A6F213"/>
    <w:rsid w:val="50A9D464"/>
    <w:rsid w:val="50FD82C6"/>
    <w:rsid w:val="5174424E"/>
    <w:rsid w:val="5470A29A"/>
    <w:rsid w:val="57163397"/>
    <w:rsid w:val="57A5B2AB"/>
    <w:rsid w:val="5986D52C"/>
    <w:rsid w:val="5A0C15AD"/>
    <w:rsid w:val="5ACFD64A"/>
    <w:rsid w:val="5AF49DD4"/>
    <w:rsid w:val="5CE712A3"/>
    <w:rsid w:val="5D6A58E3"/>
    <w:rsid w:val="5FF3F28C"/>
    <w:rsid w:val="60122241"/>
    <w:rsid w:val="61FBA80F"/>
    <w:rsid w:val="6227ADC8"/>
    <w:rsid w:val="62BBF70B"/>
    <w:rsid w:val="6487ACDB"/>
    <w:rsid w:val="65413F71"/>
    <w:rsid w:val="65FF1B3D"/>
    <w:rsid w:val="6850B236"/>
    <w:rsid w:val="69100520"/>
    <w:rsid w:val="6BA19435"/>
    <w:rsid w:val="70E4108C"/>
    <w:rsid w:val="717C8B7B"/>
    <w:rsid w:val="728E2306"/>
    <w:rsid w:val="7333AFE5"/>
    <w:rsid w:val="73A993EF"/>
    <w:rsid w:val="73E44406"/>
    <w:rsid w:val="76245504"/>
    <w:rsid w:val="76FA2CC8"/>
    <w:rsid w:val="771ABF0E"/>
    <w:rsid w:val="78666845"/>
    <w:rsid w:val="78C0CD11"/>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57585052">
      <w:bodyDiv w:val="1"/>
      <w:marLeft w:val="0"/>
      <w:marRight w:val="0"/>
      <w:marTop w:val="0"/>
      <w:marBottom w:val="0"/>
      <w:divBdr>
        <w:top w:val="none" w:sz="0" w:space="0" w:color="auto"/>
        <w:left w:val="none" w:sz="0" w:space="0" w:color="auto"/>
        <w:bottom w:val="none" w:sz="0" w:space="0" w:color="auto"/>
        <w:right w:val="none" w:sz="0" w:space="0" w:color="auto"/>
      </w:divBdr>
      <w:divsChild>
        <w:div w:id="1038551441">
          <w:marLeft w:val="0"/>
          <w:marRight w:val="0"/>
          <w:marTop w:val="0"/>
          <w:marBottom w:val="0"/>
          <w:divBdr>
            <w:top w:val="single" w:sz="6" w:space="12" w:color="CCCCCC"/>
            <w:left w:val="single" w:sz="6" w:space="12" w:color="CCCCCC"/>
            <w:bottom w:val="single" w:sz="6" w:space="12" w:color="CCCCCC"/>
            <w:right w:val="single" w:sz="6" w:space="12" w:color="CCCCCC"/>
          </w:divBdr>
          <w:divsChild>
            <w:div w:id="1285428661">
              <w:marLeft w:val="0"/>
              <w:marRight w:val="0"/>
              <w:marTop w:val="0"/>
              <w:marBottom w:val="0"/>
              <w:divBdr>
                <w:top w:val="none" w:sz="0" w:space="0" w:color="auto"/>
                <w:left w:val="none" w:sz="0" w:space="0" w:color="auto"/>
                <w:bottom w:val="none" w:sz="0" w:space="0" w:color="auto"/>
                <w:right w:val="none" w:sz="0" w:space="0" w:color="auto"/>
              </w:divBdr>
              <w:divsChild>
                <w:div w:id="9988115">
                  <w:marLeft w:val="0"/>
                  <w:marRight w:val="0"/>
                  <w:marTop w:val="0"/>
                  <w:marBottom w:val="0"/>
                  <w:divBdr>
                    <w:top w:val="none" w:sz="0" w:space="0" w:color="auto"/>
                    <w:left w:val="none" w:sz="0" w:space="0" w:color="auto"/>
                    <w:bottom w:val="none" w:sz="0" w:space="0" w:color="auto"/>
                    <w:right w:val="none" w:sz="0" w:space="0" w:color="auto"/>
                  </w:divBdr>
                  <w:divsChild>
                    <w:div w:id="635572725">
                      <w:marLeft w:val="0"/>
                      <w:marRight w:val="0"/>
                      <w:marTop w:val="0"/>
                      <w:marBottom w:val="0"/>
                      <w:divBdr>
                        <w:top w:val="none" w:sz="0" w:space="0" w:color="auto"/>
                        <w:left w:val="none" w:sz="0" w:space="0" w:color="auto"/>
                        <w:bottom w:val="none" w:sz="0" w:space="0" w:color="auto"/>
                        <w:right w:val="none" w:sz="0" w:space="0" w:color="auto"/>
                      </w:divBdr>
                      <w:divsChild>
                        <w:div w:id="700203723">
                          <w:marLeft w:val="0"/>
                          <w:marRight w:val="240"/>
                          <w:marTop w:val="0"/>
                          <w:marBottom w:val="0"/>
                          <w:divBdr>
                            <w:top w:val="none" w:sz="0" w:space="0" w:color="auto"/>
                            <w:left w:val="none" w:sz="0" w:space="0" w:color="auto"/>
                            <w:bottom w:val="none" w:sz="0" w:space="0" w:color="auto"/>
                            <w:right w:val="none" w:sz="0" w:space="0" w:color="auto"/>
                          </w:divBdr>
                          <w:divsChild>
                            <w:div w:id="799540222">
                              <w:marLeft w:val="0"/>
                              <w:marRight w:val="0"/>
                              <w:marTop w:val="0"/>
                              <w:marBottom w:val="0"/>
                              <w:divBdr>
                                <w:top w:val="none" w:sz="0" w:space="0" w:color="auto"/>
                                <w:left w:val="none" w:sz="0" w:space="0" w:color="auto"/>
                                <w:bottom w:val="none" w:sz="0" w:space="0" w:color="auto"/>
                                <w:right w:val="none" w:sz="0" w:space="0" w:color="auto"/>
                              </w:divBdr>
                            </w:div>
                          </w:divsChild>
                        </w:div>
                        <w:div w:id="1915317053">
                          <w:marLeft w:val="0"/>
                          <w:marRight w:val="0"/>
                          <w:marTop w:val="0"/>
                          <w:marBottom w:val="0"/>
                          <w:divBdr>
                            <w:top w:val="none" w:sz="0" w:space="0" w:color="auto"/>
                            <w:left w:val="none" w:sz="0" w:space="0" w:color="auto"/>
                            <w:bottom w:val="none" w:sz="0" w:space="0" w:color="auto"/>
                            <w:right w:val="none" w:sz="0" w:space="0" w:color="auto"/>
                          </w:divBdr>
                        </w:div>
                        <w:div w:id="8959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527">
          <w:marLeft w:val="0"/>
          <w:marRight w:val="0"/>
          <w:marTop w:val="0"/>
          <w:marBottom w:val="600"/>
          <w:divBdr>
            <w:top w:val="none" w:sz="0" w:space="0" w:color="auto"/>
            <w:left w:val="none" w:sz="0" w:space="0" w:color="auto"/>
            <w:bottom w:val="none" w:sz="0" w:space="0" w:color="auto"/>
            <w:right w:val="none" w:sz="0" w:space="0" w:color="auto"/>
          </w:divBdr>
        </w:div>
      </w:divsChild>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08369528">
      <w:bodyDiv w:val="1"/>
      <w:marLeft w:val="0"/>
      <w:marRight w:val="0"/>
      <w:marTop w:val="0"/>
      <w:marBottom w:val="0"/>
      <w:divBdr>
        <w:top w:val="none" w:sz="0" w:space="0" w:color="auto"/>
        <w:left w:val="none" w:sz="0" w:space="0" w:color="auto"/>
        <w:bottom w:val="none" w:sz="0" w:space="0" w:color="auto"/>
        <w:right w:val="none" w:sz="0" w:space="0" w:color="auto"/>
      </w:divBdr>
      <w:divsChild>
        <w:div w:id="56251372">
          <w:marLeft w:val="0"/>
          <w:marRight w:val="0"/>
          <w:marTop w:val="0"/>
          <w:marBottom w:val="0"/>
          <w:divBdr>
            <w:top w:val="none" w:sz="0" w:space="0" w:color="auto"/>
            <w:left w:val="none" w:sz="0" w:space="0" w:color="auto"/>
            <w:bottom w:val="none" w:sz="0" w:space="0" w:color="auto"/>
            <w:right w:val="none" w:sz="0" w:space="0" w:color="auto"/>
          </w:divBdr>
        </w:div>
        <w:div w:id="1532303282">
          <w:marLeft w:val="0"/>
          <w:marRight w:val="0"/>
          <w:marTop w:val="0"/>
          <w:marBottom w:val="0"/>
          <w:divBdr>
            <w:top w:val="none" w:sz="0" w:space="0" w:color="auto"/>
            <w:left w:val="none" w:sz="0" w:space="0" w:color="auto"/>
            <w:bottom w:val="none" w:sz="0" w:space="0" w:color="auto"/>
            <w:right w:val="none" w:sz="0" w:space="0" w:color="auto"/>
          </w:divBdr>
        </w:div>
        <w:div w:id="740610">
          <w:marLeft w:val="0"/>
          <w:marRight w:val="0"/>
          <w:marTop w:val="0"/>
          <w:marBottom w:val="0"/>
          <w:divBdr>
            <w:top w:val="none" w:sz="0" w:space="0" w:color="auto"/>
            <w:left w:val="none" w:sz="0" w:space="0" w:color="auto"/>
            <w:bottom w:val="none" w:sz="0" w:space="0" w:color="auto"/>
            <w:right w:val="none" w:sz="0" w:space="0" w:color="auto"/>
          </w:divBdr>
        </w:div>
        <w:div w:id="1655061299">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9344094">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34670199">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C62E8835-F620-4F06-97FD-6C4BCD11595A}">
  <ds:schemaRefs>
    <ds:schemaRef ds:uri="http://schemas.openxmlformats.org/officeDocument/2006/bibliography"/>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4.xml><?xml version="1.0" encoding="utf-8"?>
<ds:datastoreItem xmlns:ds="http://schemas.openxmlformats.org/officeDocument/2006/customXml" ds:itemID="{8EB507FE-16B3-4D9C-A53B-2D5A5A83D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36</cp:revision>
  <dcterms:created xsi:type="dcterms:W3CDTF">2022-06-23T15:13:00Z</dcterms:created>
  <dcterms:modified xsi:type="dcterms:W3CDTF">2022-07-05T22:29:00Z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