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8365B3D" w:rsidR="4B0E0084" w:rsidRPr="003B727E" w:rsidRDefault="001D2E75" w:rsidP="003B727E">
      <w:pPr>
        <w:rPr>
          <w:rFonts w:ascii="Arial" w:eastAsia="Arial" w:hAnsi="Arial" w:cs="Arial"/>
          <w:sz w:val="48"/>
          <w:szCs w:val="48"/>
        </w:rPr>
      </w:pPr>
      <w:r w:rsidRPr="001D2E75">
        <w:rPr>
          <w:rFonts w:ascii="Arial" w:eastAsia="Arial" w:hAnsi="Arial" w:cs="Arial"/>
          <w:sz w:val="44"/>
          <w:szCs w:val="44"/>
        </w:rPr>
        <w:t>T1599 Network Boundary Bridging</w:t>
      </w:r>
    </w:p>
    <w:tbl>
      <w:tblPr>
        <w:tblStyle w:val="TableGrid"/>
        <w:tblW w:w="0" w:type="auto"/>
        <w:tblLook w:val="04A0" w:firstRow="1" w:lastRow="0" w:firstColumn="1" w:lastColumn="0" w:noHBand="0" w:noVBand="1"/>
      </w:tblPr>
      <w:tblGrid>
        <w:gridCol w:w="1775"/>
        <w:gridCol w:w="1769"/>
        <w:gridCol w:w="1831"/>
        <w:gridCol w:w="2032"/>
        <w:gridCol w:w="1943"/>
      </w:tblGrid>
      <w:tr w:rsidR="006E2F2D" w14:paraId="49CC7FB9" w14:textId="144AD337" w:rsidTr="7E3244F1">
        <w:trPr>
          <w:trHeight w:val="287"/>
        </w:trPr>
        <w:tc>
          <w:tcPr>
            <w:tcW w:w="1869" w:type="dxa"/>
          </w:tcPr>
          <w:p w14:paraId="4D9B58BC" w14:textId="11E13C7C" w:rsidR="006E2F2D" w:rsidRPr="00392D70" w:rsidRDefault="006E2F2D" w:rsidP="50A9D464">
            <w:pPr>
              <w:spacing w:before="120" w:after="120"/>
              <w:rPr>
                <w:rFonts w:ascii="Arial" w:eastAsia="Arial" w:hAnsi="Arial" w:cs="Arial"/>
                <w:sz w:val="20"/>
                <w:szCs w:val="20"/>
              </w:rPr>
            </w:pPr>
            <w:r w:rsidRPr="00392D70">
              <w:rPr>
                <w:rFonts w:ascii="Arial" w:eastAsia="Arial" w:hAnsi="Arial" w:cs="Arial"/>
                <w:sz w:val="20"/>
                <w:szCs w:val="20"/>
              </w:rPr>
              <w:t>Date</w:t>
            </w:r>
          </w:p>
        </w:tc>
        <w:tc>
          <w:tcPr>
            <w:tcW w:w="1864" w:type="dxa"/>
          </w:tcPr>
          <w:p w14:paraId="5BA7F452" w14:textId="3C0A4754" w:rsidR="006E2F2D" w:rsidRPr="00392D70" w:rsidRDefault="006E2F2D" w:rsidP="50A9D464">
            <w:pPr>
              <w:spacing w:before="120" w:after="120"/>
              <w:rPr>
                <w:rFonts w:ascii="Arial" w:eastAsia="Arial" w:hAnsi="Arial" w:cs="Arial"/>
                <w:sz w:val="20"/>
                <w:szCs w:val="20"/>
              </w:rPr>
            </w:pPr>
            <w:r w:rsidRPr="00392D70">
              <w:rPr>
                <w:rFonts w:ascii="Arial" w:eastAsia="Arial" w:hAnsi="Arial" w:cs="Arial"/>
                <w:sz w:val="20"/>
                <w:szCs w:val="20"/>
              </w:rPr>
              <w:t>Who</w:t>
            </w:r>
          </w:p>
        </w:tc>
        <w:tc>
          <w:tcPr>
            <w:tcW w:w="1882" w:type="dxa"/>
          </w:tcPr>
          <w:p w14:paraId="5554C754" w14:textId="0A228276" w:rsidR="006E2F2D" w:rsidRPr="00392D70" w:rsidRDefault="00AA28A4" w:rsidP="50A9D464">
            <w:pPr>
              <w:spacing w:before="120" w:after="120"/>
              <w:rPr>
                <w:rFonts w:ascii="Arial" w:eastAsia="Arial" w:hAnsi="Arial" w:cs="Arial"/>
                <w:sz w:val="20"/>
                <w:szCs w:val="20"/>
              </w:rPr>
            </w:pPr>
            <w:r w:rsidRPr="00392D70">
              <w:rPr>
                <w:rFonts w:ascii="Arial" w:eastAsia="Arial" w:hAnsi="Arial" w:cs="Arial"/>
                <w:sz w:val="20"/>
                <w:szCs w:val="20"/>
              </w:rPr>
              <w:t>Current text</w:t>
            </w:r>
          </w:p>
        </w:tc>
        <w:tc>
          <w:tcPr>
            <w:tcW w:w="1760" w:type="dxa"/>
          </w:tcPr>
          <w:p w14:paraId="306FBDAE" w14:textId="1BEE5115" w:rsidR="006E2F2D" w:rsidRPr="00392D70" w:rsidRDefault="00AA28A4" w:rsidP="50A9D464">
            <w:pPr>
              <w:spacing w:before="120" w:after="120"/>
              <w:rPr>
                <w:rFonts w:ascii="Arial" w:eastAsia="Arial" w:hAnsi="Arial" w:cs="Arial"/>
                <w:sz w:val="20"/>
                <w:szCs w:val="20"/>
              </w:rPr>
            </w:pPr>
            <w:r w:rsidRPr="00392D70">
              <w:rPr>
                <w:rFonts w:ascii="Arial" w:eastAsia="Arial" w:hAnsi="Arial" w:cs="Arial"/>
                <w:sz w:val="20"/>
                <w:szCs w:val="20"/>
              </w:rPr>
              <w:t>P</w:t>
            </w:r>
            <w:r w:rsidR="006E2F2D" w:rsidRPr="00392D70">
              <w:rPr>
                <w:rFonts w:ascii="Arial" w:eastAsia="Arial" w:hAnsi="Arial" w:cs="Arial"/>
                <w:sz w:val="20"/>
                <w:szCs w:val="20"/>
              </w:rPr>
              <w:t>roposed</w:t>
            </w:r>
            <w:r w:rsidRPr="00392D70">
              <w:rPr>
                <w:rFonts w:ascii="Arial" w:eastAsia="Arial" w:hAnsi="Arial" w:cs="Arial"/>
                <w:sz w:val="20"/>
                <w:szCs w:val="20"/>
              </w:rPr>
              <w:t xml:space="preserve"> text</w:t>
            </w:r>
          </w:p>
        </w:tc>
        <w:tc>
          <w:tcPr>
            <w:tcW w:w="1975" w:type="dxa"/>
          </w:tcPr>
          <w:p w14:paraId="1595B1A3" w14:textId="479B5B09" w:rsidR="006E2F2D" w:rsidRPr="00392D70" w:rsidRDefault="00654FCF" w:rsidP="50A9D464">
            <w:pPr>
              <w:spacing w:before="120" w:after="120"/>
              <w:rPr>
                <w:rFonts w:ascii="Arial" w:eastAsia="Arial" w:hAnsi="Arial" w:cs="Arial"/>
                <w:sz w:val="20"/>
                <w:szCs w:val="20"/>
              </w:rPr>
            </w:pPr>
            <w:r w:rsidRPr="00392D70">
              <w:rPr>
                <w:rFonts w:ascii="Arial" w:eastAsia="Arial" w:hAnsi="Arial" w:cs="Arial"/>
                <w:sz w:val="20"/>
                <w:szCs w:val="20"/>
              </w:rPr>
              <w:t>Final text</w:t>
            </w:r>
          </w:p>
        </w:tc>
      </w:tr>
      <w:tr w:rsidR="006E2F2D" w14:paraId="70C088EB" w14:textId="000E6876" w:rsidTr="7E3244F1">
        <w:tc>
          <w:tcPr>
            <w:tcW w:w="1869" w:type="dxa"/>
          </w:tcPr>
          <w:p w14:paraId="454CA8EF" w14:textId="3FCA9235" w:rsidR="006E2F2D" w:rsidRPr="00392D70" w:rsidRDefault="00725A72" w:rsidP="50A9D464">
            <w:pPr>
              <w:spacing w:before="120" w:after="120"/>
              <w:rPr>
                <w:rFonts w:ascii="Arial" w:eastAsia="Arial" w:hAnsi="Arial" w:cs="Arial"/>
                <w:sz w:val="20"/>
                <w:szCs w:val="20"/>
              </w:rPr>
            </w:pPr>
            <w:r w:rsidRPr="00392D70">
              <w:rPr>
                <w:rFonts w:ascii="Arial" w:eastAsia="Arial" w:hAnsi="Arial" w:cs="Arial"/>
                <w:sz w:val="20"/>
                <w:szCs w:val="20"/>
              </w:rPr>
              <w:t>Aug 2</w:t>
            </w:r>
            <w:r w:rsidR="00392D70" w:rsidRPr="00392D70">
              <w:rPr>
                <w:rFonts w:ascii="Arial" w:eastAsia="Arial" w:hAnsi="Arial" w:cs="Arial"/>
                <w:sz w:val="20"/>
                <w:szCs w:val="20"/>
              </w:rPr>
              <w:t xml:space="preserve"> 2022</w:t>
            </w:r>
          </w:p>
        </w:tc>
        <w:tc>
          <w:tcPr>
            <w:tcW w:w="1864" w:type="dxa"/>
          </w:tcPr>
          <w:p w14:paraId="28F9B2AA" w14:textId="3E86F217" w:rsidR="006E2F2D" w:rsidRPr="00392D70" w:rsidRDefault="00725A72" w:rsidP="50A9D464">
            <w:pPr>
              <w:spacing w:before="120" w:after="120"/>
              <w:rPr>
                <w:rFonts w:ascii="Arial" w:eastAsia="Arial" w:hAnsi="Arial" w:cs="Arial"/>
                <w:sz w:val="20"/>
                <w:szCs w:val="20"/>
              </w:rPr>
            </w:pPr>
            <w:r w:rsidRPr="00392D70">
              <w:rPr>
                <w:rFonts w:ascii="Arial" w:eastAsia="Arial" w:hAnsi="Arial" w:cs="Arial"/>
                <w:sz w:val="20"/>
                <w:szCs w:val="20"/>
              </w:rPr>
              <w:t>MV</w:t>
            </w:r>
          </w:p>
        </w:tc>
        <w:tc>
          <w:tcPr>
            <w:tcW w:w="1882" w:type="dxa"/>
          </w:tcPr>
          <w:p w14:paraId="0E47F56F" w14:textId="77777777" w:rsidR="006E2F2D" w:rsidRPr="00392D70" w:rsidRDefault="006E2F2D" w:rsidP="50A9D464">
            <w:pPr>
              <w:spacing w:before="120" w:after="120"/>
              <w:rPr>
                <w:rFonts w:ascii="Arial" w:eastAsia="Arial" w:hAnsi="Arial" w:cs="Arial"/>
                <w:sz w:val="20"/>
                <w:szCs w:val="20"/>
              </w:rPr>
            </w:pPr>
          </w:p>
        </w:tc>
        <w:tc>
          <w:tcPr>
            <w:tcW w:w="1760" w:type="dxa"/>
          </w:tcPr>
          <w:p w14:paraId="799F5659" w14:textId="77777777" w:rsidR="006E2F2D" w:rsidRPr="00392D70" w:rsidRDefault="006E2F2D" w:rsidP="50A9D464">
            <w:pPr>
              <w:spacing w:before="120" w:after="120"/>
              <w:rPr>
                <w:rFonts w:ascii="Arial" w:eastAsia="Arial" w:hAnsi="Arial" w:cs="Arial"/>
                <w:sz w:val="20"/>
                <w:szCs w:val="20"/>
              </w:rPr>
            </w:pPr>
          </w:p>
        </w:tc>
        <w:tc>
          <w:tcPr>
            <w:tcW w:w="1975" w:type="dxa"/>
          </w:tcPr>
          <w:p w14:paraId="43CA349C" w14:textId="1B55FC45" w:rsidR="006E2F2D" w:rsidRPr="00392D70" w:rsidRDefault="00725A72" w:rsidP="50A9D464">
            <w:pPr>
              <w:spacing w:before="120" w:after="120"/>
              <w:rPr>
                <w:rFonts w:ascii="Arial" w:eastAsia="Arial" w:hAnsi="Arial" w:cs="Arial"/>
                <w:sz w:val="20"/>
                <w:szCs w:val="20"/>
              </w:rPr>
            </w:pPr>
            <w:r w:rsidRPr="00392D70">
              <w:rPr>
                <w:rFonts w:ascii="Arial" w:eastAsia="Arial" w:hAnsi="Arial" w:cs="Arial"/>
                <w:sz w:val="20"/>
                <w:szCs w:val="20"/>
              </w:rPr>
              <w:t>Removed quotes. Red text added</w:t>
            </w:r>
          </w:p>
        </w:tc>
      </w:tr>
      <w:tr w:rsidR="006E2F2D" w14:paraId="1839E18B" w14:textId="669EE38F" w:rsidTr="7E3244F1">
        <w:tc>
          <w:tcPr>
            <w:tcW w:w="1869" w:type="dxa"/>
          </w:tcPr>
          <w:p w14:paraId="2551917D" w14:textId="5592CA6A" w:rsidR="006E2F2D" w:rsidRPr="00392D70" w:rsidRDefault="00392D70" w:rsidP="50A9D464">
            <w:pPr>
              <w:spacing w:before="120" w:after="120"/>
              <w:rPr>
                <w:rFonts w:ascii="Arial" w:eastAsia="Arial" w:hAnsi="Arial" w:cs="Arial"/>
                <w:sz w:val="20"/>
                <w:szCs w:val="20"/>
              </w:rPr>
            </w:pPr>
            <w:r w:rsidRPr="00392D70">
              <w:rPr>
                <w:rFonts w:ascii="Arial" w:eastAsia="Arial" w:hAnsi="Arial" w:cs="Arial"/>
                <w:sz w:val="20"/>
                <w:szCs w:val="20"/>
              </w:rPr>
              <w:t>June 6 2023</w:t>
            </w:r>
          </w:p>
        </w:tc>
        <w:tc>
          <w:tcPr>
            <w:tcW w:w="1864" w:type="dxa"/>
          </w:tcPr>
          <w:p w14:paraId="45473476" w14:textId="7E1A21E6" w:rsidR="006E2F2D" w:rsidRPr="00392D70" w:rsidRDefault="00392D70" w:rsidP="50A9D464">
            <w:pPr>
              <w:spacing w:before="120" w:after="120"/>
              <w:rPr>
                <w:rFonts w:ascii="Arial" w:eastAsia="Arial" w:hAnsi="Arial" w:cs="Arial"/>
                <w:sz w:val="20"/>
                <w:szCs w:val="20"/>
              </w:rPr>
            </w:pPr>
            <w:r w:rsidRPr="00392D70">
              <w:rPr>
                <w:rFonts w:ascii="Arial" w:eastAsia="Arial" w:hAnsi="Arial" w:cs="Arial"/>
                <w:sz w:val="20"/>
                <w:szCs w:val="20"/>
              </w:rPr>
              <w:t>MV</w:t>
            </w:r>
          </w:p>
        </w:tc>
        <w:tc>
          <w:tcPr>
            <w:tcW w:w="1882" w:type="dxa"/>
          </w:tcPr>
          <w:p w14:paraId="57B47AB7" w14:textId="77777777" w:rsidR="006E2F2D" w:rsidRPr="00392D70" w:rsidRDefault="006E2F2D" w:rsidP="50A9D464">
            <w:pPr>
              <w:spacing w:before="120" w:after="120"/>
              <w:rPr>
                <w:rFonts w:ascii="Arial" w:eastAsia="Arial" w:hAnsi="Arial" w:cs="Arial"/>
                <w:sz w:val="20"/>
                <w:szCs w:val="20"/>
              </w:rPr>
            </w:pPr>
          </w:p>
        </w:tc>
        <w:tc>
          <w:tcPr>
            <w:tcW w:w="1760" w:type="dxa"/>
          </w:tcPr>
          <w:p w14:paraId="41D4B53E" w14:textId="77777777" w:rsidR="006E2F2D" w:rsidRPr="00392D70" w:rsidRDefault="006E2F2D" w:rsidP="50A9D464">
            <w:pPr>
              <w:spacing w:before="120" w:after="120"/>
              <w:rPr>
                <w:rFonts w:ascii="Arial" w:eastAsia="Arial" w:hAnsi="Arial" w:cs="Arial"/>
                <w:sz w:val="20"/>
                <w:szCs w:val="20"/>
              </w:rPr>
            </w:pPr>
          </w:p>
        </w:tc>
        <w:tc>
          <w:tcPr>
            <w:tcW w:w="1975" w:type="dxa"/>
          </w:tcPr>
          <w:p w14:paraId="788CD231" w14:textId="5FDEA066" w:rsidR="006E2F2D" w:rsidRPr="00392D70" w:rsidRDefault="00392D70" w:rsidP="50A9D464">
            <w:pPr>
              <w:spacing w:before="120" w:after="120"/>
              <w:rPr>
                <w:rFonts w:ascii="Arial" w:eastAsia="Arial" w:hAnsi="Arial" w:cs="Arial"/>
                <w:sz w:val="20"/>
                <w:szCs w:val="20"/>
              </w:rPr>
            </w:pPr>
            <w:r w:rsidRPr="00392D70">
              <w:rPr>
                <w:rFonts w:ascii="Arial" w:eastAsia="Arial" w:hAnsi="Arial" w:cs="Arial"/>
                <w:sz w:val="20"/>
                <w:szCs w:val="20"/>
              </w:rPr>
              <w:t>Expanded mitigations. Added acronym disambiguation</w:t>
            </w:r>
          </w:p>
        </w:tc>
      </w:tr>
      <w:tr w:rsidR="00DE6E51" w14:paraId="2624FD73" w14:textId="77777777" w:rsidTr="7E3244F1">
        <w:tc>
          <w:tcPr>
            <w:tcW w:w="1869" w:type="dxa"/>
          </w:tcPr>
          <w:p w14:paraId="52E250B8" w14:textId="77777777" w:rsidR="00DE6E51" w:rsidRPr="00392D70" w:rsidRDefault="00DE6E51" w:rsidP="50A9D464">
            <w:pPr>
              <w:spacing w:before="120" w:after="120"/>
              <w:rPr>
                <w:rFonts w:ascii="Arial" w:eastAsia="Arial" w:hAnsi="Arial" w:cs="Arial"/>
                <w:sz w:val="20"/>
                <w:szCs w:val="20"/>
              </w:rPr>
            </w:pPr>
          </w:p>
        </w:tc>
        <w:tc>
          <w:tcPr>
            <w:tcW w:w="1864" w:type="dxa"/>
          </w:tcPr>
          <w:p w14:paraId="4F3F8F57" w14:textId="706E4BCB" w:rsidR="00DE6E51" w:rsidRPr="00392D70" w:rsidRDefault="00DE6E51" w:rsidP="50A9D464">
            <w:pPr>
              <w:spacing w:before="120" w:after="120"/>
              <w:rPr>
                <w:rFonts w:ascii="Arial" w:eastAsia="Arial" w:hAnsi="Arial" w:cs="Arial"/>
                <w:sz w:val="20"/>
                <w:szCs w:val="20"/>
              </w:rPr>
            </w:pPr>
            <w:r>
              <w:rPr>
                <w:rFonts w:ascii="Arial" w:eastAsia="Arial" w:hAnsi="Arial" w:cs="Arial"/>
                <w:sz w:val="20"/>
                <w:szCs w:val="20"/>
              </w:rPr>
              <w:t>MV</w:t>
            </w:r>
          </w:p>
        </w:tc>
        <w:tc>
          <w:tcPr>
            <w:tcW w:w="1882" w:type="dxa"/>
          </w:tcPr>
          <w:p w14:paraId="546AD70B" w14:textId="13A9B802" w:rsidR="00DE6E51" w:rsidRPr="00392D70" w:rsidRDefault="00DE6E51" w:rsidP="50A9D464">
            <w:pPr>
              <w:spacing w:before="120" w:after="120"/>
              <w:rPr>
                <w:rFonts w:ascii="Arial" w:eastAsia="Arial" w:hAnsi="Arial" w:cs="Arial"/>
                <w:sz w:val="20"/>
                <w:szCs w:val="20"/>
              </w:rPr>
            </w:pPr>
            <w:r>
              <w:rPr>
                <w:rFonts w:ascii="Arial" w:eastAsia="Arial" w:hAnsi="Arial" w:cs="Arial"/>
                <w:sz w:val="20"/>
                <w:szCs w:val="20"/>
              </w:rPr>
              <w:t>No procedures</w:t>
            </w:r>
          </w:p>
        </w:tc>
        <w:tc>
          <w:tcPr>
            <w:tcW w:w="1760" w:type="dxa"/>
          </w:tcPr>
          <w:p w14:paraId="21C8A40E" w14:textId="2385B867" w:rsidR="00DE6E51" w:rsidRPr="00392D70" w:rsidRDefault="00DE6E51" w:rsidP="50A9D464">
            <w:pPr>
              <w:spacing w:before="120" w:after="120"/>
              <w:rPr>
                <w:rFonts w:ascii="Arial" w:eastAsia="Arial" w:hAnsi="Arial" w:cs="Arial"/>
                <w:sz w:val="20"/>
                <w:szCs w:val="20"/>
              </w:rPr>
            </w:pPr>
            <w:commentRangeStart w:id="0"/>
            <w:commentRangeStart w:id="1"/>
            <w:r w:rsidRPr="7E3244F1">
              <w:rPr>
                <w:rFonts w:ascii="Arial" w:eastAsia="Arial" w:hAnsi="Arial" w:cs="Arial"/>
                <w:sz w:val="20"/>
                <w:szCs w:val="20"/>
              </w:rPr>
              <w:t>Added 2 procedures</w:t>
            </w:r>
            <w:commentRangeEnd w:id="0"/>
            <w:r>
              <w:rPr>
                <w:rStyle w:val="CommentReference"/>
              </w:rPr>
              <w:commentReference w:id="0"/>
            </w:r>
            <w:commentRangeEnd w:id="1"/>
            <w:r>
              <w:rPr>
                <w:rStyle w:val="CommentReference"/>
              </w:rPr>
              <w:commentReference w:id="1"/>
            </w:r>
          </w:p>
        </w:tc>
        <w:tc>
          <w:tcPr>
            <w:tcW w:w="1975" w:type="dxa"/>
          </w:tcPr>
          <w:p w14:paraId="294A6582" w14:textId="77777777" w:rsidR="00DE6E51" w:rsidRPr="00392D70" w:rsidRDefault="00DE6E51" w:rsidP="50A9D464">
            <w:pPr>
              <w:spacing w:before="120" w:after="120"/>
              <w:rPr>
                <w:rFonts w:ascii="Arial" w:eastAsia="Arial" w:hAnsi="Arial" w:cs="Arial"/>
                <w:sz w:val="20"/>
                <w:szCs w:val="20"/>
              </w:rPr>
            </w:pPr>
          </w:p>
        </w:tc>
      </w:tr>
      <w:tr w:rsidR="0096534E" w14:paraId="4C427A9D" w14:textId="77777777" w:rsidTr="7E3244F1">
        <w:tc>
          <w:tcPr>
            <w:tcW w:w="1869" w:type="dxa"/>
          </w:tcPr>
          <w:p w14:paraId="7EA7DF7C" w14:textId="130B5F3A" w:rsidR="0096534E" w:rsidRPr="00392D70" w:rsidRDefault="0096534E" w:rsidP="50A9D464">
            <w:pPr>
              <w:spacing w:before="120" w:after="120"/>
              <w:rPr>
                <w:rFonts w:ascii="Arial" w:eastAsia="Arial" w:hAnsi="Arial" w:cs="Arial"/>
                <w:sz w:val="20"/>
                <w:szCs w:val="20"/>
              </w:rPr>
            </w:pPr>
            <w:r>
              <w:rPr>
                <w:rFonts w:ascii="Arial" w:eastAsia="Arial" w:hAnsi="Arial" w:cs="Arial"/>
                <w:sz w:val="20"/>
                <w:szCs w:val="20"/>
              </w:rPr>
              <w:t>July 11, 2023</w:t>
            </w:r>
          </w:p>
        </w:tc>
        <w:tc>
          <w:tcPr>
            <w:tcW w:w="1864" w:type="dxa"/>
          </w:tcPr>
          <w:p w14:paraId="09358825" w14:textId="160991FC" w:rsidR="0096534E" w:rsidRDefault="0096534E" w:rsidP="50A9D464">
            <w:pPr>
              <w:spacing w:before="120" w:after="120"/>
              <w:rPr>
                <w:rFonts w:ascii="Arial" w:eastAsia="Arial" w:hAnsi="Arial" w:cs="Arial"/>
                <w:sz w:val="20"/>
                <w:szCs w:val="20"/>
              </w:rPr>
            </w:pPr>
            <w:r>
              <w:rPr>
                <w:rFonts w:ascii="Arial" w:eastAsia="Arial" w:hAnsi="Arial" w:cs="Arial"/>
                <w:sz w:val="20"/>
                <w:szCs w:val="20"/>
              </w:rPr>
              <w:t>MV</w:t>
            </w:r>
          </w:p>
        </w:tc>
        <w:tc>
          <w:tcPr>
            <w:tcW w:w="1882" w:type="dxa"/>
          </w:tcPr>
          <w:p w14:paraId="65B49CBA" w14:textId="07C73E0A" w:rsidR="0096534E" w:rsidRDefault="0096534E" w:rsidP="50A9D464">
            <w:pPr>
              <w:spacing w:before="120" w:after="120"/>
              <w:rPr>
                <w:rFonts w:ascii="Arial" w:eastAsia="Arial" w:hAnsi="Arial" w:cs="Arial"/>
                <w:sz w:val="20"/>
                <w:szCs w:val="20"/>
              </w:rPr>
            </w:pPr>
            <w:r>
              <w:rPr>
                <w:rFonts w:ascii="Arial" w:eastAsia="Arial" w:hAnsi="Arial" w:cs="Arial"/>
                <w:sz w:val="20"/>
                <w:szCs w:val="20"/>
              </w:rPr>
              <w:t>Description doesn’t show</w:t>
            </w:r>
          </w:p>
        </w:tc>
        <w:tc>
          <w:tcPr>
            <w:tcW w:w="1760" w:type="dxa"/>
          </w:tcPr>
          <w:p w14:paraId="5CED68A1" w14:textId="164D7469" w:rsidR="0096534E" w:rsidRPr="7E3244F1" w:rsidRDefault="0096534E" w:rsidP="50A9D464">
            <w:pPr>
              <w:spacing w:before="120" w:after="120"/>
              <w:rPr>
                <w:rFonts w:ascii="Arial" w:eastAsia="Arial" w:hAnsi="Arial" w:cs="Arial"/>
                <w:sz w:val="20"/>
                <w:szCs w:val="20"/>
              </w:rPr>
            </w:pPr>
            <w:r>
              <w:rPr>
                <w:rFonts w:ascii="Arial" w:eastAsia="Arial" w:hAnsi="Arial" w:cs="Arial"/>
                <w:sz w:val="20"/>
                <w:szCs w:val="20"/>
              </w:rPr>
              <w:t>Added word “Description” at the beginning of the file</w:t>
            </w:r>
          </w:p>
        </w:tc>
        <w:tc>
          <w:tcPr>
            <w:tcW w:w="1975" w:type="dxa"/>
          </w:tcPr>
          <w:p w14:paraId="1AD3D942" w14:textId="77777777" w:rsidR="0096534E" w:rsidRPr="00392D70" w:rsidRDefault="0096534E" w:rsidP="50A9D464">
            <w:pPr>
              <w:spacing w:before="120" w:after="120"/>
              <w:rPr>
                <w:rFonts w:ascii="Arial" w:eastAsia="Arial" w:hAnsi="Arial" w:cs="Arial"/>
                <w:sz w:val="20"/>
                <w:szCs w:val="20"/>
              </w:rPr>
            </w:pPr>
          </w:p>
        </w:tc>
      </w:tr>
    </w:tbl>
    <w:p w14:paraId="66DB154D" w14:textId="34E55ABC" w:rsidR="00DF389A" w:rsidRDefault="00E410E7" w:rsidP="00DF389A">
      <w:pPr>
        <w:rPr>
          <w:rFonts w:ascii="Arial" w:eastAsia="Arial" w:hAnsi="Arial" w:cs="Arial"/>
        </w:rPr>
      </w:pPr>
      <w:commentRangeStart w:id="2"/>
      <w:commentRangeEnd w:id="2"/>
      <w:r>
        <w:rPr>
          <w:rStyle w:val="CommentReference"/>
        </w:rPr>
        <w:commentReference w:id="2"/>
      </w:r>
    </w:p>
    <w:p w14:paraId="3071DC8D" w14:textId="7879CE6A" w:rsidR="00392D70" w:rsidRDefault="00613A64" w:rsidP="00DF389A">
      <w:pPr>
        <w:rPr>
          <w:rFonts w:ascii="Arial" w:eastAsia="Arial" w:hAnsi="Arial" w:cs="Arial"/>
        </w:rPr>
      </w:pPr>
      <w:r>
        <w:rPr>
          <w:rFonts w:ascii="Arial" w:eastAsia="Arial" w:hAnsi="Arial" w:cs="Arial"/>
        </w:rPr>
        <w:t xml:space="preserve">Description: </w:t>
      </w:r>
      <w:r w:rsidR="00DF389A" w:rsidRPr="00DF389A">
        <w:rPr>
          <w:rFonts w:ascii="Arial" w:eastAsia="Arial" w:hAnsi="Arial" w:cs="Arial"/>
        </w:rPr>
        <w:t xml:space="preserve">An adversary may compromise network separation controls to gain access to one or more of the 5G security zones or networks.  </w:t>
      </w:r>
    </w:p>
    <w:p w14:paraId="3DA0AC50" w14:textId="77777777" w:rsidR="00392D70" w:rsidRDefault="00392D70" w:rsidP="00DF389A">
      <w:pPr>
        <w:rPr>
          <w:rFonts w:ascii="Arial" w:eastAsia="Arial" w:hAnsi="Arial" w:cs="Arial"/>
        </w:rPr>
      </w:pPr>
    </w:p>
    <w:p w14:paraId="73189A1C" w14:textId="6B9A7FEB" w:rsidR="00DF389A" w:rsidRDefault="00DF389A" w:rsidP="00DF389A">
      <w:pPr>
        <w:rPr>
          <w:rFonts w:ascii="Arial" w:eastAsia="Arial" w:hAnsi="Arial" w:cs="Arial"/>
        </w:rPr>
      </w:pPr>
      <w:r w:rsidRPr="00DF389A">
        <w:rPr>
          <w:rFonts w:ascii="Arial" w:eastAsia="Arial" w:hAnsi="Arial" w:cs="Arial"/>
        </w:rPr>
        <w:t xml:space="preserve">5G is a system of systems and may be composed of several network and security zones, </w:t>
      </w:r>
      <w:r w:rsidR="00392D70">
        <w:rPr>
          <w:rFonts w:ascii="Arial" w:eastAsia="Arial" w:hAnsi="Arial" w:cs="Arial"/>
        </w:rPr>
        <w:t>as well as</w:t>
      </w:r>
      <w:r w:rsidRPr="00DF389A">
        <w:rPr>
          <w:rFonts w:ascii="Arial" w:eastAsia="Arial" w:hAnsi="Arial" w:cs="Arial"/>
        </w:rPr>
        <w:t xml:space="preserve"> slices.  A compromise of controls placed to maintain security zones or network segmentation based on IP networks, application groups or slices may allow </w:t>
      </w:r>
      <w:r w:rsidR="00392D70">
        <w:rPr>
          <w:rFonts w:ascii="Arial" w:eastAsia="Arial" w:hAnsi="Arial" w:cs="Arial"/>
        </w:rPr>
        <w:t xml:space="preserve">an </w:t>
      </w:r>
      <w:r w:rsidRPr="00DF389A">
        <w:rPr>
          <w:rFonts w:ascii="Arial" w:eastAsia="Arial" w:hAnsi="Arial" w:cs="Arial"/>
        </w:rPr>
        <w:t>adversary to gain unauthorized access to networks or services. This may occur at a Core, RAN, Cloud or Slice boundary.</w:t>
      </w:r>
    </w:p>
    <w:p w14:paraId="29922E59" w14:textId="641E05F1" w:rsidR="00DF389A" w:rsidRDefault="00DF389A" w:rsidP="00DF389A">
      <w:pPr>
        <w:rPr>
          <w:rFonts w:ascii="Arial" w:eastAsia="Arial" w:hAnsi="Arial" w:cs="Arial"/>
        </w:rPr>
      </w:pPr>
    </w:p>
    <w:p w14:paraId="3ADD90D9" w14:textId="3172F689" w:rsidR="001D2E75" w:rsidRDefault="001D2E75" w:rsidP="00364BD2">
      <w:pPr>
        <w:rPr>
          <w:rFonts w:ascii="Arial" w:eastAsia="Arial" w:hAnsi="Arial" w:cs="Arial"/>
        </w:rPr>
      </w:pPr>
      <w:commentRangeStart w:id="3"/>
      <w:commentRangeStart w:id="4"/>
      <w:commentRangeStart w:id="5"/>
      <w:r w:rsidRPr="340E251D">
        <w:rPr>
          <w:rFonts w:ascii="Arial" w:eastAsia="Arial" w:hAnsi="Arial" w:cs="Arial"/>
        </w:rPr>
        <w:t xml:space="preserve">Once the adversary has infiltrated the internals of the network, it has ample opportunities and a much broader attack surface to explore. The adversary can, e.g., conduct privilege escalation and process injection for gaining administrative rights, </w:t>
      </w:r>
      <w:r w:rsidR="002E4647" w:rsidRPr="340E251D">
        <w:rPr>
          <w:rFonts w:ascii="Arial" w:eastAsia="Arial" w:hAnsi="Arial" w:cs="Arial"/>
        </w:rPr>
        <w:t xml:space="preserve">attempt </w:t>
      </w:r>
      <w:r w:rsidRPr="340E251D">
        <w:rPr>
          <w:rFonts w:ascii="Arial" w:eastAsia="Arial" w:hAnsi="Arial" w:cs="Arial"/>
        </w:rPr>
        <w:t>password cracking of valid user accounts on the nodes, exploit vulnerabilities in databases and file systems, and take advantage of improper configurations of routers and switches</w:t>
      </w:r>
      <w:r w:rsidR="00CD62F4" w:rsidRPr="340E251D">
        <w:rPr>
          <w:rFonts w:ascii="Arial" w:eastAsia="Arial" w:hAnsi="Arial" w:cs="Arial"/>
        </w:rPr>
        <w:t>.</w:t>
      </w:r>
      <w:commentRangeEnd w:id="3"/>
      <w:r w:rsidR="00D64187">
        <w:rPr>
          <w:rStyle w:val="CommentReference"/>
        </w:rPr>
        <w:commentReference w:id="3"/>
      </w:r>
      <w:commentRangeEnd w:id="4"/>
      <w:r w:rsidR="00D64187">
        <w:rPr>
          <w:rStyle w:val="CommentReference"/>
        </w:rPr>
        <w:commentReference w:id="4"/>
      </w:r>
      <w:commentRangeEnd w:id="5"/>
      <w:r w:rsidR="00D64187">
        <w:rPr>
          <w:rStyle w:val="CommentReference"/>
        </w:rPr>
        <w:commentReference w:id="5"/>
      </w:r>
    </w:p>
    <w:p w14:paraId="0897AA2F" w14:textId="3632B668" w:rsidR="340E251D" w:rsidRDefault="340E251D" w:rsidP="340E251D">
      <w:pPr>
        <w:rPr>
          <w:rFonts w:ascii="Arial" w:eastAsia="Arial" w:hAnsi="Arial" w:cs="Arial"/>
        </w:rPr>
      </w:pPr>
    </w:p>
    <w:p w14:paraId="4D907546" w14:textId="4CCF59CB" w:rsidR="5FC402E1" w:rsidRDefault="5FC402E1" w:rsidP="16202888">
      <w:pPr>
        <w:rPr>
          <w:rFonts w:ascii="Arial" w:eastAsia="Arial" w:hAnsi="Arial" w:cs="Arial"/>
          <w:highlight w:val="yellow"/>
        </w:rPr>
      </w:pPr>
      <w:commentRangeStart w:id="8"/>
      <w:r w:rsidRPr="16202888">
        <w:rPr>
          <w:rFonts w:ascii="Arial" w:eastAsia="Arial" w:hAnsi="Arial" w:cs="Arial"/>
          <w:highlight w:val="yellow"/>
        </w:rPr>
        <w:t xml:space="preserve">The boundaries of a network and its security zones can exist between various technologies, such as 4G and 5G, or between different partners, such as private networks, mobile operators, or </w:t>
      </w:r>
      <w:r w:rsidR="00392D70">
        <w:rPr>
          <w:rFonts w:ascii="Arial" w:eastAsia="Arial" w:hAnsi="Arial" w:cs="Arial"/>
          <w:highlight w:val="yellow"/>
        </w:rPr>
        <w:t>Mobile Virtual Network Operators (</w:t>
      </w:r>
      <w:r w:rsidRPr="16202888">
        <w:rPr>
          <w:rFonts w:ascii="Arial" w:eastAsia="Arial" w:hAnsi="Arial" w:cs="Arial"/>
          <w:highlight w:val="yellow"/>
        </w:rPr>
        <w:t>MVNOs</w:t>
      </w:r>
      <w:r w:rsidR="00392D70">
        <w:rPr>
          <w:rFonts w:ascii="Arial" w:eastAsia="Arial" w:hAnsi="Arial" w:cs="Arial"/>
          <w:highlight w:val="yellow"/>
        </w:rPr>
        <w:t>)</w:t>
      </w:r>
      <w:r w:rsidRPr="16202888">
        <w:rPr>
          <w:rFonts w:ascii="Arial" w:eastAsia="Arial" w:hAnsi="Arial" w:cs="Arial"/>
          <w:highlight w:val="yellow"/>
        </w:rPr>
        <w:t>. These boundaries can also exist between different network components, such as radio access, core, edge, and cloud, as well as between national or international links and operator cores, and service providers or operator cores.</w:t>
      </w:r>
    </w:p>
    <w:p w14:paraId="3E2C5DBA" w14:textId="5D53AF63" w:rsidR="5FC402E1" w:rsidRDefault="5FC402E1" w:rsidP="16202888">
      <w:pPr>
        <w:rPr>
          <w:rFonts w:ascii="Arial" w:eastAsia="Arial" w:hAnsi="Arial" w:cs="Arial"/>
          <w:highlight w:val="yellow"/>
        </w:rPr>
      </w:pPr>
      <w:r w:rsidRPr="16202888">
        <w:rPr>
          <w:rFonts w:ascii="Arial" w:eastAsia="Arial" w:hAnsi="Arial" w:cs="Arial"/>
          <w:highlight w:val="yellow"/>
        </w:rPr>
        <w:t>In some cases, firewalls may be used to separate these zones, such as SS7</w:t>
      </w:r>
      <w:r w:rsidR="00392D70">
        <w:rPr>
          <w:rFonts w:ascii="Arial" w:eastAsia="Arial" w:hAnsi="Arial" w:cs="Arial"/>
          <w:highlight w:val="yellow"/>
        </w:rPr>
        <w:t xml:space="preserve"> protocol</w:t>
      </w:r>
      <w:r w:rsidRPr="16202888">
        <w:rPr>
          <w:rFonts w:ascii="Arial" w:eastAsia="Arial" w:hAnsi="Arial" w:cs="Arial"/>
          <w:highlight w:val="yellow"/>
        </w:rPr>
        <w:t xml:space="preserve">, </w:t>
      </w:r>
      <w:r w:rsidR="00392D70">
        <w:rPr>
          <w:rFonts w:ascii="Arial" w:eastAsia="Arial" w:hAnsi="Arial" w:cs="Arial"/>
          <w:highlight w:val="yellow"/>
        </w:rPr>
        <w:t>D</w:t>
      </w:r>
      <w:r w:rsidRPr="16202888">
        <w:rPr>
          <w:rFonts w:ascii="Arial" w:eastAsia="Arial" w:hAnsi="Arial" w:cs="Arial"/>
          <w:highlight w:val="yellow"/>
        </w:rPr>
        <w:t>iameter</w:t>
      </w:r>
      <w:r w:rsidR="00392D70">
        <w:rPr>
          <w:rFonts w:ascii="Arial" w:eastAsia="Arial" w:hAnsi="Arial" w:cs="Arial"/>
          <w:highlight w:val="yellow"/>
        </w:rPr>
        <w:t xml:space="preserve"> protocol</w:t>
      </w:r>
      <w:r w:rsidRPr="16202888">
        <w:rPr>
          <w:rFonts w:ascii="Arial" w:eastAsia="Arial" w:hAnsi="Arial" w:cs="Arial"/>
          <w:highlight w:val="yellow"/>
        </w:rPr>
        <w:t>, 5G API</w:t>
      </w:r>
      <w:r w:rsidR="00392D70">
        <w:rPr>
          <w:rFonts w:ascii="Arial" w:eastAsia="Arial" w:hAnsi="Arial" w:cs="Arial"/>
          <w:highlight w:val="yellow"/>
        </w:rPr>
        <w:t>s</w:t>
      </w:r>
      <w:r w:rsidRPr="16202888">
        <w:rPr>
          <w:rFonts w:ascii="Arial" w:eastAsia="Arial" w:hAnsi="Arial" w:cs="Arial"/>
          <w:highlight w:val="yellow"/>
        </w:rPr>
        <w:t>,</w:t>
      </w:r>
      <w:r w:rsidR="00392D70">
        <w:rPr>
          <w:rFonts w:ascii="Arial" w:eastAsia="Arial" w:hAnsi="Arial" w:cs="Arial"/>
          <w:highlight w:val="yellow"/>
        </w:rPr>
        <w:t xml:space="preserve"> </w:t>
      </w:r>
      <w:r w:rsidRPr="16202888">
        <w:rPr>
          <w:rFonts w:ascii="Arial" w:eastAsia="Arial" w:hAnsi="Arial" w:cs="Arial"/>
          <w:highlight w:val="yellow"/>
        </w:rPr>
        <w:t>enhanced SCP</w:t>
      </w:r>
      <w:r w:rsidR="00392D70">
        <w:rPr>
          <w:rFonts w:ascii="Arial" w:eastAsia="Arial" w:hAnsi="Arial" w:cs="Arial"/>
          <w:highlight w:val="yellow"/>
        </w:rPr>
        <w:t xml:space="preserve"> (Service Communication Proxy)</w:t>
      </w:r>
      <w:r w:rsidRPr="16202888">
        <w:rPr>
          <w:rFonts w:ascii="Arial" w:eastAsia="Arial" w:hAnsi="Arial" w:cs="Arial"/>
          <w:highlight w:val="yellow"/>
        </w:rPr>
        <w:t>, IP</w:t>
      </w:r>
      <w:r w:rsidR="00392D70">
        <w:rPr>
          <w:rFonts w:ascii="Arial" w:eastAsia="Arial" w:hAnsi="Arial" w:cs="Arial"/>
          <w:highlight w:val="yellow"/>
        </w:rPr>
        <w:t xml:space="preserve"> (Internet Protocol)</w:t>
      </w:r>
      <w:r w:rsidRPr="16202888">
        <w:rPr>
          <w:rFonts w:ascii="Arial" w:eastAsia="Arial" w:hAnsi="Arial" w:cs="Arial"/>
          <w:highlight w:val="yellow"/>
        </w:rPr>
        <w:t>, SIP</w:t>
      </w:r>
      <w:r w:rsidR="00392D70">
        <w:rPr>
          <w:rFonts w:ascii="Arial" w:eastAsia="Arial" w:hAnsi="Arial" w:cs="Arial"/>
          <w:highlight w:val="yellow"/>
        </w:rPr>
        <w:t xml:space="preserve"> (Session Initiation Protocol)</w:t>
      </w:r>
      <w:r w:rsidRPr="16202888">
        <w:rPr>
          <w:rFonts w:ascii="Arial" w:eastAsia="Arial" w:hAnsi="Arial" w:cs="Arial"/>
          <w:highlight w:val="yellow"/>
        </w:rPr>
        <w:t>, and GTP</w:t>
      </w:r>
      <w:r w:rsidR="00392D70">
        <w:rPr>
          <w:rFonts w:ascii="Arial" w:eastAsia="Arial" w:hAnsi="Arial" w:cs="Arial"/>
          <w:highlight w:val="yellow"/>
        </w:rPr>
        <w:t xml:space="preserve"> (GPRS Tunneling Protocols)</w:t>
      </w:r>
      <w:r w:rsidRPr="16202888">
        <w:rPr>
          <w:rFonts w:ascii="Arial" w:eastAsia="Arial" w:hAnsi="Arial" w:cs="Arial"/>
          <w:highlight w:val="yellow"/>
        </w:rPr>
        <w:t xml:space="preserve"> firewalls. Alternatively, an interworking function may be used to translate one protocol into another. However, it's important to note that privileged access is not always necessary to bypass a firewall or exploit an interworking function. Often, insufficient filtering may be the cause, or the filtering may not be sufficiently deep.</w:t>
      </w:r>
      <w:commentRangeEnd w:id="8"/>
      <w:r>
        <w:rPr>
          <w:rStyle w:val="CommentReference"/>
        </w:rPr>
        <w:commentReference w:id="8"/>
      </w:r>
    </w:p>
    <w:p w14:paraId="402F2B4E" w14:textId="29CFEF39" w:rsidR="340E251D" w:rsidRDefault="340E251D" w:rsidP="340E251D">
      <w:pPr>
        <w:rPr>
          <w:rFonts w:ascii="Arial" w:eastAsia="Arial" w:hAnsi="Arial" w:cs="Arial"/>
        </w:rPr>
      </w:pPr>
    </w:p>
    <w:p w14:paraId="1C9FF697" w14:textId="4B8652F0" w:rsidR="340E251D" w:rsidRDefault="340E251D" w:rsidP="340E251D">
      <w:pPr>
        <w:rPr>
          <w:rFonts w:ascii="Arial" w:eastAsia="Arial" w:hAnsi="Arial" w:cs="Arial"/>
        </w:rPr>
      </w:pPr>
    </w:p>
    <w:p w14:paraId="2AF0CDD6" w14:textId="0C7DBEF3"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5865B36C" w14:textId="39C5D010" w:rsidR="000D4FFB" w:rsidRDefault="003D6861" w:rsidP="009B6CBF">
      <w:pPr>
        <w:pStyle w:val="ListParagraph"/>
        <w:numPr>
          <w:ilvl w:val="0"/>
          <w:numId w:val="4"/>
        </w:numPr>
        <w:rPr>
          <w:rFonts w:ascii="Arial" w:eastAsia="Arial" w:hAnsi="Arial" w:cs="Arial"/>
        </w:rPr>
      </w:pPr>
      <w:r w:rsidRPr="000D4FFB">
        <w:rPr>
          <w:rFonts w:ascii="Arial" w:eastAsia="Arial" w:hAnsi="Arial" w:cs="Arial"/>
        </w:rPr>
        <w:t xml:space="preserve">Applicable </w:t>
      </w:r>
      <w:r w:rsidR="00AF06DC" w:rsidRPr="000D4FFB">
        <w:rPr>
          <w:rFonts w:ascii="Arial" w:eastAsia="Arial" w:hAnsi="Arial" w:cs="Arial"/>
        </w:rPr>
        <w:t xml:space="preserve">Tactics:  </w:t>
      </w:r>
      <w:r w:rsidR="001D2E75" w:rsidRPr="001D2E75">
        <w:rPr>
          <w:rFonts w:ascii="Arial" w:eastAsia="Arial" w:hAnsi="Arial" w:cs="Arial"/>
        </w:rPr>
        <w:t>defense-evasion</w:t>
      </w:r>
    </w:p>
    <w:p w14:paraId="211B4D45" w14:textId="77777777" w:rsidR="00E33FB8" w:rsidRDefault="00E33FB8" w:rsidP="00E33FB8">
      <w:pPr>
        <w:rPr>
          <w:rFonts w:ascii="Arial" w:eastAsia="Arial" w:hAnsi="Arial" w:cs="Arial"/>
        </w:rPr>
      </w:pPr>
    </w:p>
    <w:p w14:paraId="24E21C8A" w14:textId="2C56FB54" w:rsidR="00E33FB8" w:rsidRPr="00392D70" w:rsidRDefault="00E33FB8" w:rsidP="00E33FB8">
      <w:pPr>
        <w:rPr>
          <w:rFonts w:ascii="Arial" w:eastAsia="Arial" w:hAnsi="Arial" w:cs="Arial"/>
          <w:color w:val="000000" w:themeColor="text1"/>
        </w:rPr>
      </w:pPr>
      <w:r w:rsidRPr="00392D70">
        <w:rPr>
          <w:rFonts w:ascii="Arial" w:eastAsia="Arial" w:hAnsi="Arial" w:cs="Arial"/>
          <w:color w:val="000000" w:themeColor="text1"/>
        </w:rPr>
        <w:t>Metadata:</w:t>
      </w:r>
    </w:p>
    <w:p w14:paraId="264F76E1" w14:textId="332EDCF7" w:rsidR="00C605AB" w:rsidRPr="000D4FFB" w:rsidRDefault="00683CA7" w:rsidP="00FE6206">
      <w:pPr>
        <w:pStyle w:val="ListParagraph"/>
        <w:numPr>
          <w:ilvl w:val="0"/>
          <w:numId w:val="4"/>
        </w:numPr>
        <w:rPr>
          <w:rFonts w:ascii="Arial" w:eastAsia="Arial" w:hAnsi="Arial" w:cs="Arial"/>
        </w:rPr>
      </w:pPr>
      <w:r w:rsidRPr="000D4FFB">
        <w:rPr>
          <w:rFonts w:ascii="Arial" w:eastAsia="Arial" w:hAnsi="Arial" w:cs="Arial"/>
        </w:rPr>
        <w:t>Platform</w:t>
      </w:r>
      <w:r w:rsidR="00506230" w:rsidRPr="000D4FFB">
        <w:rPr>
          <w:rFonts w:ascii="Arial" w:eastAsia="Arial" w:hAnsi="Arial" w:cs="Arial"/>
        </w:rPr>
        <w:t>(</w:t>
      </w:r>
      <w:r w:rsidRPr="000D4FFB">
        <w:rPr>
          <w:rFonts w:ascii="Arial" w:eastAsia="Arial" w:hAnsi="Arial" w:cs="Arial"/>
        </w:rPr>
        <w:t>s</w:t>
      </w:r>
      <w:r w:rsidR="00506230" w:rsidRPr="000D4FFB">
        <w:rPr>
          <w:rFonts w:ascii="Arial" w:eastAsia="Arial" w:hAnsi="Arial" w:cs="Arial"/>
        </w:rPr>
        <w:t>)</w:t>
      </w:r>
      <w:r w:rsidRPr="000D4FFB">
        <w:rPr>
          <w:rFonts w:ascii="Arial" w:eastAsia="Arial" w:hAnsi="Arial" w:cs="Arial"/>
        </w:rPr>
        <w:t>:</w:t>
      </w:r>
      <w:r w:rsidR="00DA63FB" w:rsidRPr="000D4FFB">
        <w:rPr>
          <w:rFonts w:ascii="Arial" w:eastAsia="Arial" w:hAnsi="Arial" w:cs="Arial"/>
        </w:rPr>
        <w:t xml:space="preserve"> </w:t>
      </w:r>
      <w:r w:rsidR="00F73B8A" w:rsidRPr="00F73B8A">
        <w:rPr>
          <w:rFonts w:ascii="Arial" w:eastAsia="Arial" w:hAnsi="Arial" w:cs="Arial"/>
        </w:rPr>
        <w:t>OA&amp;M</w:t>
      </w:r>
    </w:p>
    <w:p w14:paraId="52F75D46" w14:textId="79D7050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 xml:space="preserve">Administrative </w:t>
      </w:r>
      <w:proofErr w:type="gramStart"/>
      <w:r w:rsidR="00597C17">
        <w:rPr>
          <w:rFonts w:ascii="Arial" w:eastAsia="Arial" w:hAnsi="Arial" w:cs="Arial"/>
        </w:rPr>
        <w:t>access</w:t>
      </w:r>
      <w:proofErr w:type="gramEnd"/>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1B70E808" w:rsidR="00A94926" w:rsidRPr="009C2D05" w:rsidRDefault="00A94926" w:rsidP="00CB73D0">
      <w:pPr>
        <w:pStyle w:val="ListParagraph"/>
        <w:numPr>
          <w:ilvl w:val="0"/>
          <w:numId w:val="4"/>
        </w:numPr>
        <w:rPr>
          <w:rFonts w:ascii="Arial" w:eastAsia="Arial" w:hAnsi="Arial" w:cs="Arial"/>
        </w:rPr>
      </w:pPr>
      <w:commentRangeStart w:id="9"/>
      <w:r w:rsidRPr="30A83FD0">
        <w:rPr>
          <w:rFonts w:ascii="Arial" w:eastAsia="Arial" w:hAnsi="Arial" w:cs="Arial"/>
        </w:rPr>
        <w:t>Theoretical</w:t>
      </w:r>
      <w:r w:rsidR="00D7138A" w:rsidRPr="30A83FD0">
        <w:rPr>
          <w:rFonts w:ascii="Arial" w:eastAsia="Arial" w:hAnsi="Arial" w:cs="Arial"/>
        </w:rPr>
        <w:t>/</w:t>
      </w:r>
      <w:r w:rsidR="00BA7BC6" w:rsidRPr="30A83FD0">
        <w:rPr>
          <w:rFonts w:ascii="Arial" w:eastAsia="Arial" w:hAnsi="Arial" w:cs="Arial"/>
        </w:rPr>
        <w:t>Proof of concept/</w:t>
      </w:r>
      <w:r w:rsidR="00D7138A" w:rsidRPr="30A83FD0">
        <w:rPr>
          <w:rFonts w:ascii="Arial" w:eastAsia="Arial" w:hAnsi="Arial" w:cs="Arial"/>
        </w:rPr>
        <w:t>Observed</w:t>
      </w:r>
      <w:commentRangeEnd w:id="9"/>
      <w:r>
        <w:rPr>
          <w:rStyle w:val="CommentReference"/>
        </w:rPr>
        <w:commentReference w:id="9"/>
      </w:r>
      <w:r w:rsidRPr="30A83FD0">
        <w:rPr>
          <w:rFonts w:ascii="Arial" w:eastAsia="Arial" w:hAnsi="Arial" w:cs="Arial"/>
        </w:rPr>
        <w:t xml:space="preserve">:  </w:t>
      </w:r>
    </w:p>
    <w:p w14:paraId="590C2CDE" w14:textId="664C1A76" w:rsidR="30A83FD0" w:rsidRDefault="30A83FD0" w:rsidP="1213055B">
      <w:pPr>
        <w:pStyle w:val="ListParagraph"/>
        <w:numPr>
          <w:ilvl w:val="0"/>
          <w:numId w:val="4"/>
        </w:numPr>
        <w:rPr>
          <w:rFonts w:eastAsiaTheme="minorEastAsia"/>
          <w:color w:val="000000" w:themeColor="text1"/>
        </w:rPr>
      </w:pPr>
      <w:r w:rsidRPr="1213055B">
        <w:rPr>
          <w:rFonts w:ascii="Arial" w:eastAsia="Arial" w:hAnsi="Arial" w:cs="Arial"/>
          <w:color w:val="000000" w:themeColor="text1"/>
        </w:rPr>
        <w:t xml:space="preserve">Architecture Segment: </w:t>
      </w:r>
      <w:proofErr w:type="spellStart"/>
      <w:r w:rsidR="1213055B" w:rsidRPr="1213055B">
        <w:rPr>
          <w:rFonts w:ascii="Arial" w:eastAsia="Arial" w:hAnsi="Arial" w:cs="Arial"/>
          <w:color w:val="000000" w:themeColor="text1"/>
        </w:rPr>
        <w:t>Impl</w:t>
      </w:r>
      <w:proofErr w:type="spellEnd"/>
      <w:r w:rsidR="1213055B" w:rsidRPr="1213055B">
        <w:rPr>
          <w:rFonts w:ascii="Arial" w:eastAsia="Arial" w:hAnsi="Arial" w:cs="Arial"/>
          <w:color w:val="000000" w:themeColor="text1"/>
        </w:rPr>
        <w:t xml:space="preserve">-OA&amp;M, </w:t>
      </w:r>
      <w:proofErr w:type="spellStart"/>
      <w:r w:rsidR="1213055B" w:rsidRPr="1213055B">
        <w:rPr>
          <w:rFonts w:ascii="Arial" w:eastAsia="Arial" w:hAnsi="Arial" w:cs="Arial"/>
          <w:color w:val="000000" w:themeColor="text1"/>
        </w:rPr>
        <w:t>Impl</w:t>
      </w:r>
      <w:proofErr w:type="spellEnd"/>
      <w:r w:rsidR="1213055B" w:rsidRPr="1213055B">
        <w:rPr>
          <w:rFonts w:ascii="Arial" w:eastAsia="Arial" w:hAnsi="Arial" w:cs="Arial"/>
          <w:color w:val="000000" w:themeColor="text1"/>
        </w:rPr>
        <w:t>-Virtualization, Arch-Slice</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1E2D3C26">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1E2D3C26">
        <w:tc>
          <w:tcPr>
            <w:tcW w:w="4680" w:type="dxa"/>
          </w:tcPr>
          <w:p w14:paraId="35EB4C3D" w14:textId="5515BD51" w:rsidR="5986D52C" w:rsidRPr="00137A9E" w:rsidRDefault="00137A9E" w:rsidP="5986D52C">
            <w:pPr>
              <w:rPr>
                <w:rFonts w:ascii="Arial" w:eastAsia="Arial" w:hAnsi="Arial" w:cs="Arial"/>
                <w:sz w:val="20"/>
                <w:szCs w:val="20"/>
              </w:rPr>
            </w:pPr>
            <w:r>
              <w:rPr>
                <w:rFonts w:ascii="Arial" w:eastAsia="Arial" w:hAnsi="Arial" w:cs="Arial"/>
                <w:sz w:val="20"/>
                <w:szCs w:val="20"/>
              </w:rPr>
              <w:t>Impersonate roaming partner/VAS (Value Added Service) provider</w:t>
            </w:r>
          </w:p>
        </w:tc>
        <w:tc>
          <w:tcPr>
            <w:tcW w:w="4680" w:type="dxa"/>
          </w:tcPr>
          <w:p w14:paraId="6BB7B8F4" w14:textId="345E1BF6" w:rsidR="07561C29" w:rsidRPr="00137A9E" w:rsidRDefault="00137A9E" w:rsidP="00137A9E">
            <w:pPr>
              <w:rPr>
                <w:rFonts w:ascii="Arial" w:eastAsia="Arial" w:hAnsi="Arial" w:cs="Arial"/>
                <w:color w:val="404040" w:themeColor="text1" w:themeTint="BF"/>
                <w:sz w:val="20"/>
                <w:szCs w:val="20"/>
              </w:rPr>
            </w:pPr>
            <w:r>
              <w:rPr>
                <w:rFonts w:ascii="Arial" w:eastAsia="Arial" w:hAnsi="Arial" w:cs="Arial"/>
                <w:color w:val="404040" w:themeColor="text1" w:themeTint="BF"/>
                <w:sz w:val="20"/>
                <w:szCs w:val="20"/>
              </w:rPr>
              <w:t xml:space="preserve">An adversary may impersonate a trusted source (roaming partner or VAS) to </w:t>
            </w:r>
            <w:r w:rsidRPr="00137A9E">
              <w:rPr>
                <w:rFonts w:ascii="Arial" w:eastAsia="Arial" w:hAnsi="Arial" w:cs="Arial"/>
                <w:color w:val="404040" w:themeColor="text1" w:themeTint="BF"/>
                <w:sz w:val="20"/>
                <w:szCs w:val="20"/>
              </w:rPr>
              <w:t>avoid</w:t>
            </w:r>
            <w:r>
              <w:rPr>
                <w:rFonts w:ascii="Arial" w:eastAsia="Arial" w:hAnsi="Arial" w:cs="Arial"/>
                <w:color w:val="404040" w:themeColor="text1" w:themeTint="BF"/>
                <w:sz w:val="20"/>
                <w:szCs w:val="20"/>
              </w:rPr>
              <w:t xml:space="preserve"> filtering by firewall, and </w:t>
            </w:r>
            <w:r w:rsidRPr="00137A9E">
              <w:rPr>
                <w:rFonts w:ascii="Arial" w:eastAsia="Arial" w:hAnsi="Arial" w:cs="Arial"/>
                <w:color w:val="404040" w:themeColor="text1" w:themeTint="BF"/>
                <w:sz w:val="20"/>
                <w:szCs w:val="20"/>
              </w:rPr>
              <w:t xml:space="preserve">to transport </w:t>
            </w:r>
            <w:r>
              <w:rPr>
                <w:rFonts w:ascii="Arial" w:eastAsia="Arial" w:hAnsi="Arial" w:cs="Arial"/>
                <w:color w:val="404040" w:themeColor="text1" w:themeTint="BF"/>
                <w:sz w:val="20"/>
                <w:szCs w:val="20"/>
              </w:rPr>
              <w:t>data</w:t>
            </w:r>
            <w:r w:rsidRPr="00137A9E">
              <w:rPr>
                <w:rFonts w:ascii="Arial" w:eastAsia="Arial" w:hAnsi="Arial" w:cs="Arial"/>
                <w:color w:val="404040" w:themeColor="text1" w:themeTint="BF"/>
                <w:sz w:val="20"/>
                <w:szCs w:val="20"/>
              </w:rPr>
              <w:t xml:space="preserve"> in and out of the targeted</w:t>
            </w:r>
            <w:r>
              <w:rPr>
                <w:rFonts w:ascii="Arial" w:eastAsia="Arial" w:hAnsi="Arial" w:cs="Arial"/>
                <w:color w:val="404040" w:themeColor="text1" w:themeTint="BF"/>
                <w:sz w:val="20"/>
                <w:szCs w:val="20"/>
              </w:rPr>
              <w:t xml:space="preserve"> </w:t>
            </w:r>
            <w:r w:rsidRPr="00137A9E">
              <w:rPr>
                <w:rFonts w:ascii="Arial" w:eastAsia="Arial" w:hAnsi="Arial" w:cs="Arial"/>
                <w:color w:val="404040" w:themeColor="text1" w:themeTint="BF"/>
                <w:sz w:val="20"/>
                <w:szCs w:val="20"/>
              </w:rPr>
              <w:t xml:space="preserve">operator’s network. </w:t>
            </w:r>
            <w:r>
              <w:rPr>
                <w:rFonts w:ascii="Arial" w:eastAsia="Arial" w:hAnsi="Arial" w:cs="Arial"/>
                <w:color w:val="404040" w:themeColor="text1" w:themeTint="BF"/>
                <w:sz w:val="20"/>
                <w:szCs w:val="20"/>
              </w:rPr>
              <w:t>([1])</w:t>
            </w:r>
          </w:p>
        </w:tc>
      </w:tr>
      <w:tr w:rsidR="00347995" w:rsidRPr="009C2D05" w14:paraId="6B48DA1A" w14:textId="77777777" w:rsidTr="1E2D3C26">
        <w:tc>
          <w:tcPr>
            <w:tcW w:w="4680" w:type="dxa"/>
          </w:tcPr>
          <w:p w14:paraId="1AC5EDFA" w14:textId="27ED34F3" w:rsidR="00347995" w:rsidRDefault="00347995" w:rsidP="5986D52C">
            <w:pPr>
              <w:rPr>
                <w:rFonts w:ascii="Arial" w:eastAsia="Arial" w:hAnsi="Arial" w:cs="Arial"/>
                <w:sz w:val="20"/>
                <w:szCs w:val="20"/>
              </w:rPr>
            </w:pPr>
            <w:r>
              <w:rPr>
                <w:rFonts w:ascii="Arial" w:eastAsia="Arial" w:hAnsi="Arial" w:cs="Arial"/>
                <w:sz w:val="20"/>
                <w:szCs w:val="20"/>
              </w:rPr>
              <w:t xml:space="preserve">MANO abuse to change SDN (Software Defined Networking) configuration </w:t>
            </w:r>
          </w:p>
        </w:tc>
        <w:tc>
          <w:tcPr>
            <w:tcW w:w="4680" w:type="dxa"/>
          </w:tcPr>
          <w:p w14:paraId="3647605F" w14:textId="3F297733" w:rsidR="00347995" w:rsidRDefault="00347995" w:rsidP="00137A9E">
            <w:pPr>
              <w:rPr>
                <w:rFonts w:ascii="Arial" w:eastAsia="Arial" w:hAnsi="Arial" w:cs="Arial"/>
                <w:color w:val="404040" w:themeColor="text1" w:themeTint="BF"/>
                <w:sz w:val="20"/>
                <w:szCs w:val="20"/>
              </w:rPr>
            </w:pPr>
            <w:r w:rsidRPr="1E2D3C26">
              <w:rPr>
                <w:rFonts w:ascii="Arial" w:eastAsia="Arial" w:hAnsi="Arial" w:cs="Arial"/>
                <w:color w:val="404040" w:themeColor="text1" w:themeTint="BF"/>
                <w:sz w:val="20"/>
                <w:szCs w:val="20"/>
              </w:rPr>
              <w:t>An adversary may abuse the remote service offered for network MANO</w:t>
            </w:r>
            <w:r w:rsidR="36B4E760" w:rsidRPr="1E2D3C26">
              <w:rPr>
                <w:rFonts w:ascii="Arial" w:eastAsia="Arial" w:hAnsi="Arial" w:cs="Arial"/>
                <w:color w:val="404040" w:themeColor="text1" w:themeTint="BF"/>
                <w:sz w:val="20"/>
                <w:szCs w:val="20"/>
              </w:rPr>
              <w:t xml:space="preserve"> tools</w:t>
            </w:r>
            <w:r w:rsidRPr="1E2D3C26">
              <w:rPr>
                <w:rFonts w:ascii="Arial" w:eastAsia="Arial" w:hAnsi="Arial" w:cs="Arial"/>
                <w:color w:val="404040" w:themeColor="text1" w:themeTint="BF"/>
                <w:sz w:val="20"/>
                <w:szCs w:val="20"/>
              </w:rPr>
              <w:t>, to make configuration changes to SDN flow tables and cause packet filtering to not detect flow across boundaries.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1213055B">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1213055B">
        <w:tc>
          <w:tcPr>
            <w:tcW w:w="4680" w:type="dxa"/>
          </w:tcPr>
          <w:p w14:paraId="5786B3E1" w14:textId="320DF98B" w:rsidR="61FBA80F" w:rsidRPr="00392D70" w:rsidRDefault="00DF389A" w:rsidP="00DF389A">
            <w:pPr>
              <w:spacing w:line="259" w:lineRule="auto"/>
              <w:rPr>
                <w:sz w:val="20"/>
                <w:szCs w:val="20"/>
              </w:rPr>
            </w:pPr>
            <w:r w:rsidRPr="00392D70">
              <w:rPr>
                <w:rFonts w:ascii="Calibri" w:eastAsia="Calibri" w:hAnsi="Calibri" w:cs="Calibri"/>
                <w:sz w:val="20"/>
                <w:szCs w:val="20"/>
              </w:rPr>
              <w:t>M1043</w:t>
            </w:r>
          </w:p>
        </w:tc>
        <w:tc>
          <w:tcPr>
            <w:tcW w:w="4680" w:type="dxa"/>
          </w:tcPr>
          <w:p w14:paraId="0C171B52" w14:textId="6F9389C3" w:rsidR="3224D91A" w:rsidRPr="00392D70" w:rsidRDefault="00392D70" w:rsidP="00DF389A">
            <w:pPr>
              <w:rPr>
                <w:rFonts w:ascii="Arial" w:hAnsi="Arial" w:cs="Arial"/>
                <w:sz w:val="20"/>
                <w:szCs w:val="20"/>
              </w:rPr>
            </w:pPr>
            <w:r w:rsidRPr="00392D70">
              <w:rPr>
                <w:rFonts w:ascii="Arial" w:eastAsia="Arial" w:hAnsi="Arial" w:cs="Arial"/>
                <w:sz w:val="20"/>
                <w:szCs w:val="20"/>
              </w:rPr>
              <w:t>Protect credentials of management entities</w:t>
            </w:r>
            <w:r w:rsidR="00DF389A" w:rsidRPr="00392D70">
              <w:rPr>
                <w:rStyle w:val="Hyperlink"/>
                <w:rFonts w:ascii="Arial" w:eastAsia="Arial" w:hAnsi="Arial" w:cs="Arial"/>
                <w:sz w:val="20"/>
                <w:szCs w:val="20"/>
              </w:rPr>
              <w:t xml:space="preserve"> </w:t>
            </w:r>
          </w:p>
        </w:tc>
      </w:tr>
      <w:tr w:rsidR="00F977D5" w:rsidRPr="009C2D05" w14:paraId="19A887DC" w14:textId="77777777" w:rsidTr="1213055B">
        <w:tc>
          <w:tcPr>
            <w:tcW w:w="4680" w:type="dxa"/>
          </w:tcPr>
          <w:p w14:paraId="2E479798" w14:textId="59A9FAEA" w:rsidR="00F977D5" w:rsidRPr="00392D70" w:rsidRDefault="00DF389A" w:rsidP="00DF389A">
            <w:pPr>
              <w:spacing w:line="259" w:lineRule="auto"/>
              <w:rPr>
                <w:sz w:val="20"/>
                <w:szCs w:val="20"/>
              </w:rPr>
            </w:pPr>
            <w:r w:rsidRPr="00392D70">
              <w:rPr>
                <w:rFonts w:ascii="Arial" w:eastAsia="Arial" w:hAnsi="Arial" w:cs="Arial"/>
                <w:sz w:val="20"/>
                <w:szCs w:val="20"/>
              </w:rPr>
              <w:t>M1037</w:t>
            </w:r>
          </w:p>
        </w:tc>
        <w:tc>
          <w:tcPr>
            <w:tcW w:w="4680" w:type="dxa"/>
          </w:tcPr>
          <w:p w14:paraId="0B8F75D8" w14:textId="0D204F28" w:rsidR="00F977D5" w:rsidRPr="00392D70" w:rsidRDefault="00DF389A" w:rsidP="00DF389A">
            <w:pPr>
              <w:rPr>
                <w:rFonts w:ascii="Arial" w:hAnsi="Arial" w:cs="Arial"/>
                <w:sz w:val="20"/>
                <w:szCs w:val="20"/>
              </w:rPr>
            </w:pPr>
            <w:r w:rsidRPr="00392D70">
              <w:rPr>
                <w:rFonts w:ascii="Arial" w:eastAsia="Arial" w:hAnsi="Arial" w:cs="Arial"/>
                <w:sz w:val="20"/>
                <w:szCs w:val="20"/>
              </w:rPr>
              <w:t>Filter Network Traffic</w:t>
            </w:r>
            <w:r w:rsidR="00392D70" w:rsidRPr="00392D70">
              <w:rPr>
                <w:rFonts w:ascii="Arial" w:eastAsia="Arial" w:hAnsi="Arial" w:cs="Arial"/>
                <w:sz w:val="20"/>
                <w:szCs w:val="20"/>
              </w:rPr>
              <w:t>, per protocol</w:t>
            </w:r>
          </w:p>
        </w:tc>
      </w:tr>
      <w:tr w:rsidR="00C76AB1" w:rsidRPr="009C2D05" w14:paraId="34BE5A44" w14:textId="77777777" w:rsidTr="1213055B">
        <w:tc>
          <w:tcPr>
            <w:tcW w:w="4680" w:type="dxa"/>
          </w:tcPr>
          <w:p w14:paraId="743CC14D" w14:textId="14CA6CF7" w:rsidR="00C76AB1" w:rsidRPr="00392D70" w:rsidRDefault="00DF389A" w:rsidP="00DF389A">
            <w:pPr>
              <w:spacing w:line="259" w:lineRule="auto"/>
              <w:rPr>
                <w:sz w:val="20"/>
                <w:szCs w:val="20"/>
              </w:rPr>
            </w:pPr>
            <w:r w:rsidRPr="00392D70">
              <w:rPr>
                <w:rFonts w:ascii="Arial" w:eastAsia="Arial" w:hAnsi="Arial" w:cs="Arial"/>
                <w:sz w:val="20"/>
                <w:szCs w:val="20"/>
              </w:rPr>
              <w:t>M1026</w:t>
            </w:r>
          </w:p>
        </w:tc>
        <w:tc>
          <w:tcPr>
            <w:tcW w:w="4680" w:type="dxa"/>
          </w:tcPr>
          <w:p w14:paraId="59D0A7B3" w14:textId="29B5E5E1" w:rsidR="00C76AB1" w:rsidRPr="00392D70" w:rsidRDefault="00392D70" w:rsidP="00DF389A">
            <w:pPr>
              <w:rPr>
                <w:rFonts w:ascii="Arial" w:hAnsi="Arial" w:cs="Arial"/>
                <w:sz w:val="20"/>
                <w:szCs w:val="20"/>
              </w:rPr>
            </w:pPr>
            <w:r w:rsidRPr="00392D70">
              <w:rPr>
                <w:rFonts w:ascii="Arial" w:eastAsia="Arial" w:hAnsi="Arial" w:cs="Arial"/>
                <w:sz w:val="20"/>
                <w:szCs w:val="20"/>
              </w:rPr>
              <w:t>Manage accounts for privileged users for the security zones in the 5G network.</w:t>
            </w:r>
          </w:p>
        </w:tc>
      </w:tr>
      <w:tr w:rsidR="00796225" w:rsidRPr="009C2D05" w14:paraId="23DEB9DD" w14:textId="77777777" w:rsidTr="1213055B">
        <w:tc>
          <w:tcPr>
            <w:tcW w:w="4680" w:type="dxa"/>
          </w:tcPr>
          <w:p w14:paraId="2B08F305" w14:textId="37AB1666" w:rsidR="00796225" w:rsidRPr="00392D70" w:rsidRDefault="0025127D" w:rsidP="00C27B61">
            <w:pPr>
              <w:rPr>
                <w:sz w:val="20"/>
                <w:szCs w:val="20"/>
              </w:rPr>
            </w:pPr>
            <w:r w:rsidRPr="00392D70">
              <w:rPr>
                <w:rFonts w:ascii="Arial" w:hAnsi="Arial" w:cs="Arial"/>
                <w:sz w:val="20"/>
                <w:szCs w:val="20"/>
              </w:rPr>
              <w:t>M1032</w:t>
            </w:r>
          </w:p>
        </w:tc>
        <w:tc>
          <w:tcPr>
            <w:tcW w:w="4680" w:type="dxa"/>
          </w:tcPr>
          <w:p w14:paraId="115FD0EC" w14:textId="6A35D7EF" w:rsidR="00796225" w:rsidRPr="00392D70" w:rsidRDefault="00392D70" w:rsidP="00DF389A">
            <w:pPr>
              <w:rPr>
                <w:rFonts w:ascii="Arial" w:hAnsi="Arial" w:cs="Arial"/>
                <w:sz w:val="20"/>
                <w:szCs w:val="20"/>
              </w:rPr>
            </w:pPr>
            <w:r w:rsidRPr="00392D70">
              <w:rPr>
                <w:rFonts w:ascii="Arial" w:hAnsi="Arial" w:cs="Arial"/>
                <w:sz w:val="20"/>
                <w:szCs w:val="20"/>
              </w:rPr>
              <w:t xml:space="preserve">Enable </w:t>
            </w:r>
            <w:r w:rsidR="00B27278" w:rsidRPr="00392D70">
              <w:rPr>
                <w:rFonts w:ascii="Arial" w:hAnsi="Arial" w:cs="Arial"/>
                <w:sz w:val="20"/>
                <w:szCs w:val="20"/>
              </w:rPr>
              <w:t>Multi-factor Authentication</w:t>
            </w:r>
            <w:r w:rsidRPr="00392D70">
              <w:rPr>
                <w:rFonts w:ascii="Arial" w:hAnsi="Arial" w:cs="Arial"/>
                <w:sz w:val="20"/>
                <w:szCs w:val="20"/>
              </w:rPr>
              <w:t xml:space="preserve"> for privileged users</w:t>
            </w:r>
          </w:p>
        </w:tc>
      </w:tr>
      <w:tr w:rsidR="007417F1" w:rsidRPr="009C2D05" w14:paraId="7EDB39F1" w14:textId="77777777" w:rsidTr="1213055B">
        <w:tc>
          <w:tcPr>
            <w:tcW w:w="4680" w:type="dxa"/>
          </w:tcPr>
          <w:p w14:paraId="25C07D4A" w14:textId="0EAFB242" w:rsidR="007417F1" w:rsidRPr="00392D70" w:rsidRDefault="00DC2D9A" w:rsidP="0025127D">
            <w:pPr>
              <w:rPr>
                <w:sz w:val="20"/>
                <w:szCs w:val="20"/>
              </w:rPr>
            </w:pPr>
            <w:r w:rsidRPr="00392D70">
              <w:rPr>
                <w:rFonts w:ascii="Arial" w:hAnsi="Arial" w:cs="Arial"/>
                <w:sz w:val="20"/>
                <w:szCs w:val="20"/>
              </w:rPr>
              <w:t>M1027</w:t>
            </w:r>
          </w:p>
        </w:tc>
        <w:tc>
          <w:tcPr>
            <w:tcW w:w="4680" w:type="dxa"/>
          </w:tcPr>
          <w:p w14:paraId="64933814" w14:textId="75DB0517" w:rsidR="007417F1" w:rsidRPr="00392D70" w:rsidRDefault="00767BFC" w:rsidP="00DF389A">
            <w:pPr>
              <w:rPr>
                <w:rFonts w:ascii="Arial" w:hAnsi="Arial" w:cs="Arial"/>
                <w:sz w:val="20"/>
                <w:szCs w:val="20"/>
              </w:rPr>
            </w:pPr>
            <w:r w:rsidRPr="00392D70">
              <w:rPr>
                <w:rFonts w:ascii="Arial" w:hAnsi="Arial" w:cs="Arial"/>
                <w:sz w:val="20"/>
                <w:szCs w:val="20"/>
              </w:rPr>
              <w:t>Password Policies</w:t>
            </w:r>
            <w:r w:rsidR="00C06A3C" w:rsidRPr="00392D70">
              <w:rPr>
                <w:rFonts w:ascii="Arial" w:hAnsi="Arial" w:cs="Arial"/>
                <w:sz w:val="20"/>
                <w:szCs w:val="20"/>
              </w:rPr>
              <w:t xml:space="preserve"> </w:t>
            </w:r>
            <w:r w:rsidR="00392D70" w:rsidRPr="00392D70">
              <w:rPr>
                <w:rFonts w:ascii="Arial" w:hAnsi="Arial" w:cs="Arial"/>
                <w:sz w:val="20"/>
                <w:szCs w:val="20"/>
              </w:rPr>
              <w:t xml:space="preserve">– follow </w:t>
            </w:r>
            <w:r w:rsidR="00C06A3C" w:rsidRPr="00392D70">
              <w:rPr>
                <w:rFonts w:ascii="Arial" w:hAnsi="Arial" w:cs="Arial"/>
                <w:sz w:val="20"/>
                <w:szCs w:val="20"/>
              </w:rPr>
              <w:t xml:space="preserve">NIST Guidelines.  This may </w:t>
            </w:r>
            <w:r w:rsidR="00C34AC5" w:rsidRPr="00392D70">
              <w:rPr>
                <w:rFonts w:ascii="Arial" w:hAnsi="Arial" w:cs="Arial"/>
                <w:sz w:val="20"/>
                <w:szCs w:val="20"/>
              </w:rPr>
              <w:t xml:space="preserve">also include token policies if </w:t>
            </w:r>
            <w:r w:rsidR="00946CBE" w:rsidRPr="00392D70">
              <w:rPr>
                <w:rFonts w:ascii="Arial" w:hAnsi="Arial" w:cs="Arial"/>
                <w:sz w:val="20"/>
                <w:szCs w:val="20"/>
              </w:rPr>
              <w:t>security tokens are used</w:t>
            </w:r>
            <w:r w:rsidR="008624E2" w:rsidRPr="00392D70">
              <w:rPr>
                <w:rFonts w:ascii="Arial" w:hAnsi="Arial" w:cs="Arial"/>
                <w:sz w:val="20"/>
                <w:szCs w:val="20"/>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C1D39EC" w:rsidR="00EB6DC6" w:rsidRPr="009C2D05" w:rsidRDefault="00C273E9" w:rsidP="00CD012B">
            <w:pPr>
              <w:spacing w:line="259" w:lineRule="auto"/>
              <w:rPr>
                <w:sz w:val="22"/>
                <w:szCs w:val="22"/>
              </w:rPr>
            </w:pPr>
            <w:r>
              <w:rPr>
                <w:sz w:val="22"/>
                <w:szCs w:val="22"/>
              </w:rPr>
              <w:t xml:space="preserve">Privileged </w:t>
            </w:r>
            <w:r w:rsidR="002B644D">
              <w:rPr>
                <w:sz w:val="22"/>
                <w:szCs w:val="22"/>
              </w:rPr>
              <w:t>access</w:t>
            </w:r>
          </w:p>
        </w:tc>
        <w:tc>
          <w:tcPr>
            <w:tcW w:w="4680" w:type="dxa"/>
          </w:tcPr>
          <w:p w14:paraId="5F9CA793" w14:textId="5754FA81" w:rsidR="00EB6DC6" w:rsidRPr="009C2D05" w:rsidRDefault="00200581" w:rsidP="00CD012B">
            <w:pPr>
              <w:rPr>
                <w:rFonts w:ascii="Arial" w:eastAsia="Arial" w:hAnsi="Arial" w:cs="Arial"/>
                <w:sz w:val="16"/>
                <w:szCs w:val="16"/>
              </w:rPr>
            </w:pPr>
            <w:r>
              <w:rPr>
                <w:rFonts w:ascii="Arial" w:eastAsia="Arial" w:hAnsi="Arial" w:cs="Arial"/>
                <w:sz w:val="16"/>
                <w:szCs w:val="16"/>
              </w:rPr>
              <w:t>Privileged</w:t>
            </w:r>
            <w:r w:rsidR="00732242">
              <w:rPr>
                <w:rFonts w:ascii="Arial" w:eastAsia="Arial" w:hAnsi="Arial" w:cs="Arial"/>
                <w:sz w:val="16"/>
                <w:szCs w:val="16"/>
              </w:rPr>
              <w:t xml:space="preserve"> access </w:t>
            </w:r>
            <w:r w:rsidR="00BA1980">
              <w:rPr>
                <w:rFonts w:ascii="Arial" w:eastAsia="Arial" w:hAnsi="Arial" w:cs="Arial"/>
                <w:sz w:val="16"/>
                <w:szCs w:val="16"/>
              </w:rPr>
              <w:t xml:space="preserve">to device implementing the network </w:t>
            </w:r>
            <w:r w:rsidR="00C547C4">
              <w:rPr>
                <w:rFonts w:ascii="Arial" w:eastAsia="Arial" w:hAnsi="Arial" w:cs="Arial"/>
                <w:sz w:val="16"/>
                <w:szCs w:val="16"/>
              </w:rPr>
              <w:t xml:space="preserve">separation </w:t>
            </w:r>
            <w:r w:rsidR="00BA1980">
              <w:rPr>
                <w:rFonts w:ascii="Arial" w:eastAsia="Arial" w:hAnsi="Arial" w:cs="Arial"/>
                <w:sz w:val="16"/>
                <w:szCs w:val="16"/>
              </w:rPr>
              <w:t xml:space="preserve">controls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35BB772B" w:rsidR="001036B2" w:rsidRPr="009C2D05" w:rsidRDefault="00EC4996" w:rsidP="00CD012B">
            <w:pPr>
              <w:spacing w:line="259" w:lineRule="auto"/>
              <w:rPr>
                <w:sz w:val="22"/>
                <w:szCs w:val="22"/>
              </w:rPr>
            </w:pPr>
            <w:r>
              <w:rPr>
                <w:sz w:val="22"/>
                <w:szCs w:val="22"/>
              </w:rPr>
              <w:t xml:space="preserve">Devices enforcing </w:t>
            </w:r>
            <w:r w:rsidR="006E20A5">
              <w:rPr>
                <w:sz w:val="22"/>
                <w:szCs w:val="22"/>
              </w:rPr>
              <w:t>segmentation controls</w:t>
            </w:r>
          </w:p>
        </w:tc>
        <w:tc>
          <w:tcPr>
            <w:tcW w:w="4680" w:type="dxa"/>
          </w:tcPr>
          <w:p w14:paraId="20993E06" w14:textId="0FFA4ABC" w:rsidR="001036B2" w:rsidRPr="009C2D05" w:rsidRDefault="00485E56" w:rsidP="0272C9E8">
            <w:pPr>
              <w:rPr>
                <w:rFonts w:ascii="Arial" w:eastAsia="Arial" w:hAnsi="Arial" w:cs="Arial"/>
                <w:sz w:val="16"/>
                <w:szCs w:val="16"/>
              </w:rPr>
            </w:pPr>
            <w:r>
              <w:rPr>
                <w:rFonts w:ascii="Arial" w:eastAsia="Arial" w:hAnsi="Arial" w:cs="Arial"/>
                <w:sz w:val="16"/>
                <w:szCs w:val="16"/>
              </w:rPr>
              <w:t xml:space="preserve">Devices enforcing network segmentation and creating </w:t>
            </w:r>
            <w:r w:rsidR="00FD46F7">
              <w:rPr>
                <w:rFonts w:ascii="Arial" w:eastAsia="Arial" w:hAnsi="Arial" w:cs="Arial"/>
                <w:sz w:val="16"/>
                <w:szCs w:val="16"/>
              </w:rPr>
              <w:t xml:space="preserve">perimeter </w:t>
            </w:r>
            <w:r>
              <w:rPr>
                <w:rFonts w:ascii="Arial" w:eastAsia="Arial" w:hAnsi="Arial" w:cs="Arial"/>
                <w:sz w:val="16"/>
                <w:szCs w:val="16"/>
              </w:rPr>
              <w:t>for applications may inc</w:t>
            </w:r>
            <w:r w:rsidR="00FD46F7">
              <w:rPr>
                <w:rFonts w:ascii="Arial" w:eastAsia="Arial" w:hAnsi="Arial" w:cs="Arial"/>
                <w:sz w:val="16"/>
                <w:szCs w:val="16"/>
              </w:rPr>
              <w:t>lude firewalls</w:t>
            </w:r>
            <w:r w:rsidR="00D86B9B">
              <w:rPr>
                <w:rFonts w:ascii="Arial" w:eastAsia="Arial" w:hAnsi="Arial" w:cs="Arial"/>
                <w:sz w:val="16"/>
                <w:szCs w:val="16"/>
              </w:rPr>
              <w:t>, SDN controllers, or Proxies.</w:t>
            </w:r>
          </w:p>
        </w:tc>
      </w:tr>
      <w:tr w:rsidR="007C7EDB" w:rsidRPr="009C2D05" w14:paraId="30C8C3EE" w14:textId="77777777" w:rsidTr="0272C9E8">
        <w:tc>
          <w:tcPr>
            <w:tcW w:w="4680" w:type="dxa"/>
          </w:tcPr>
          <w:p w14:paraId="7471BC4B" w14:textId="0A83934A" w:rsidR="007C7EDB" w:rsidRDefault="007C7EDB" w:rsidP="00CD012B">
            <w:pPr>
              <w:spacing w:line="259" w:lineRule="auto"/>
              <w:rPr>
                <w:rFonts w:ascii="Arial" w:eastAsia="Arial" w:hAnsi="Arial" w:cs="Arial"/>
                <w:sz w:val="16"/>
                <w:szCs w:val="16"/>
              </w:rPr>
            </w:pPr>
          </w:p>
        </w:tc>
        <w:tc>
          <w:tcPr>
            <w:tcW w:w="4680" w:type="dxa"/>
          </w:tcPr>
          <w:p w14:paraId="4A516CD3" w14:textId="27DAA89F" w:rsidR="007C7EDB" w:rsidRDefault="007C7EDB" w:rsidP="0272C9E8">
            <w:pPr>
              <w:rPr>
                <w:rFonts w:ascii="Arial" w:eastAsia="Arial" w:hAnsi="Arial" w:cs="Arial"/>
                <w:sz w:val="16"/>
                <w:szCs w:val="16"/>
              </w:rPr>
            </w:pP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072EFEC3" w:rsidR="00122B07" w:rsidRPr="00725A72" w:rsidRDefault="00153411" w:rsidP="001D026C">
            <w:pPr>
              <w:rPr>
                <w:sz w:val="16"/>
                <w:szCs w:val="16"/>
              </w:rPr>
            </w:pPr>
            <w:r w:rsidRPr="00725A72">
              <w:rPr>
                <w:rFonts w:ascii="Arial" w:hAnsi="Arial" w:cs="Arial"/>
                <w:sz w:val="16"/>
                <w:szCs w:val="16"/>
              </w:rPr>
              <w:lastRenderedPageBreak/>
              <w:t>DS0029</w:t>
            </w:r>
          </w:p>
        </w:tc>
        <w:tc>
          <w:tcPr>
            <w:tcW w:w="4680" w:type="dxa"/>
          </w:tcPr>
          <w:p w14:paraId="07AFEF23" w14:textId="42D65288" w:rsidR="00122B07" w:rsidRPr="00725A72" w:rsidRDefault="00133783" w:rsidP="00CD012B">
            <w:pPr>
              <w:rPr>
                <w:sz w:val="16"/>
                <w:szCs w:val="16"/>
              </w:rPr>
            </w:pPr>
            <w:r w:rsidRPr="00725A72">
              <w:rPr>
                <w:rFonts w:ascii="Arial" w:hAnsi="Arial" w:cs="Arial"/>
                <w:sz w:val="16"/>
                <w:szCs w:val="16"/>
              </w:rPr>
              <w:t>Network Traffic</w:t>
            </w:r>
            <w:r w:rsidRPr="00725A72">
              <w:rPr>
                <w:sz w:val="16"/>
                <w:szCs w:val="16"/>
              </w:rPr>
              <w:t xml:space="preserve"> should be m</w:t>
            </w:r>
            <w:r w:rsidR="002D3AE2" w:rsidRPr="00725A72">
              <w:rPr>
                <w:sz w:val="16"/>
                <w:szCs w:val="16"/>
              </w:rPr>
              <w:t xml:space="preserve">onitored for traffic flows and messaging </w:t>
            </w:r>
            <w:r w:rsidR="006562B5" w:rsidRPr="00725A72">
              <w:rPr>
                <w:sz w:val="16"/>
                <w:szCs w:val="16"/>
              </w:rPr>
              <w:t>contents to</w:t>
            </w:r>
            <w:r w:rsidR="002D3AE2" w:rsidRPr="00725A72">
              <w:rPr>
                <w:sz w:val="16"/>
                <w:szCs w:val="16"/>
              </w:rPr>
              <w:t xml:space="preserve"> </w:t>
            </w:r>
            <w:r w:rsidR="00F67389" w:rsidRPr="00725A72">
              <w:rPr>
                <w:sz w:val="16"/>
                <w:szCs w:val="16"/>
              </w:rPr>
              <w:t>determine abnormal activity</w:t>
            </w:r>
            <w:r w:rsidR="008A14D9" w:rsidRPr="00725A72">
              <w:rPr>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3A0A8B54" w:rsidR="00050DAF" w:rsidRPr="00725A72" w:rsidRDefault="0089398F" w:rsidP="00CD012B">
            <w:pPr>
              <w:spacing w:line="259" w:lineRule="auto"/>
              <w:rPr>
                <w:sz w:val="16"/>
                <w:szCs w:val="16"/>
              </w:rPr>
            </w:pPr>
            <w:r w:rsidRPr="00725A72">
              <w:rPr>
                <w:sz w:val="16"/>
                <w:szCs w:val="16"/>
              </w:rPr>
              <w:t>Unusual</w:t>
            </w:r>
            <w:r w:rsidR="00EC1F67" w:rsidRPr="00725A72">
              <w:rPr>
                <w:sz w:val="16"/>
                <w:szCs w:val="16"/>
              </w:rPr>
              <w:t xml:space="preserve"> network traffic flows</w:t>
            </w:r>
          </w:p>
        </w:tc>
        <w:tc>
          <w:tcPr>
            <w:tcW w:w="4680" w:type="dxa"/>
          </w:tcPr>
          <w:p w14:paraId="42D8BC64" w14:textId="7FF70067" w:rsidR="00050DAF" w:rsidRPr="00725A72" w:rsidRDefault="0089398F" w:rsidP="00CD012B">
            <w:pPr>
              <w:rPr>
                <w:rFonts w:ascii="Arial" w:eastAsia="Arial" w:hAnsi="Arial" w:cs="Arial"/>
                <w:sz w:val="16"/>
                <w:szCs w:val="16"/>
              </w:rPr>
            </w:pPr>
            <w:r w:rsidRPr="00725A72">
              <w:rPr>
                <w:rFonts w:ascii="Arial" w:eastAsia="Arial" w:hAnsi="Arial" w:cs="Arial"/>
                <w:sz w:val="16"/>
                <w:szCs w:val="16"/>
              </w:rPr>
              <w:t xml:space="preserve">If network boundaries are breached, </w:t>
            </w:r>
            <w:r w:rsidR="001C4D7E" w:rsidRPr="00725A72">
              <w:rPr>
                <w:rFonts w:ascii="Arial" w:eastAsia="Arial" w:hAnsi="Arial" w:cs="Arial"/>
                <w:sz w:val="16"/>
                <w:szCs w:val="16"/>
              </w:rPr>
              <w:t>monitoring system may detect unusual network flow</w:t>
            </w:r>
          </w:p>
        </w:tc>
      </w:tr>
      <w:tr w:rsidR="00EC1F67" w:rsidRPr="009C2D05" w14:paraId="143AA35C" w14:textId="77777777" w:rsidTr="00CD012B">
        <w:tc>
          <w:tcPr>
            <w:tcW w:w="4680" w:type="dxa"/>
          </w:tcPr>
          <w:p w14:paraId="535A3497" w14:textId="1B0DD32F" w:rsidR="00EC1F67" w:rsidRPr="00725A72" w:rsidRDefault="00620DC7" w:rsidP="00CD012B">
            <w:pPr>
              <w:spacing w:line="259" w:lineRule="auto"/>
              <w:rPr>
                <w:sz w:val="16"/>
                <w:szCs w:val="16"/>
              </w:rPr>
            </w:pPr>
            <w:r w:rsidRPr="00725A72">
              <w:rPr>
                <w:sz w:val="16"/>
                <w:szCs w:val="16"/>
              </w:rPr>
              <w:t>Network mapping activity</w:t>
            </w:r>
          </w:p>
        </w:tc>
        <w:tc>
          <w:tcPr>
            <w:tcW w:w="4680" w:type="dxa"/>
          </w:tcPr>
          <w:p w14:paraId="46A071CD" w14:textId="7A3DA1E6" w:rsidR="00EC1F67" w:rsidRPr="00725A72" w:rsidRDefault="00620DC7" w:rsidP="00CD012B">
            <w:pPr>
              <w:rPr>
                <w:rFonts w:ascii="Arial" w:eastAsia="Arial" w:hAnsi="Arial" w:cs="Arial"/>
                <w:sz w:val="16"/>
                <w:szCs w:val="16"/>
              </w:rPr>
            </w:pPr>
            <w:r w:rsidRPr="00725A72">
              <w:rPr>
                <w:rFonts w:ascii="Arial" w:eastAsia="Arial" w:hAnsi="Arial" w:cs="Arial"/>
                <w:sz w:val="16"/>
                <w:szCs w:val="16"/>
              </w:rPr>
              <w:t xml:space="preserve">Adversary may </w:t>
            </w:r>
            <w:r w:rsidR="0069458C" w:rsidRPr="00725A72">
              <w:rPr>
                <w:rFonts w:ascii="Arial" w:eastAsia="Arial" w:hAnsi="Arial" w:cs="Arial"/>
                <w:sz w:val="16"/>
                <w:szCs w:val="16"/>
              </w:rPr>
              <w:t>attempt to discover networks and live hosts on the networks</w:t>
            </w:r>
          </w:p>
        </w:tc>
      </w:tr>
      <w:tr w:rsidR="0069458C" w:rsidRPr="009C2D05" w14:paraId="311A00C4" w14:textId="77777777" w:rsidTr="00CD012B">
        <w:tc>
          <w:tcPr>
            <w:tcW w:w="4680" w:type="dxa"/>
          </w:tcPr>
          <w:p w14:paraId="18FCD5E6" w14:textId="3D9A75F5" w:rsidR="0069458C" w:rsidRPr="00725A72" w:rsidRDefault="00A61D29" w:rsidP="00CD012B">
            <w:pPr>
              <w:spacing w:line="259" w:lineRule="auto"/>
              <w:rPr>
                <w:sz w:val="16"/>
                <w:szCs w:val="16"/>
              </w:rPr>
            </w:pPr>
            <w:r w:rsidRPr="00725A72">
              <w:rPr>
                <w:sz w:val="16"/>
                <w:szCs w:val="16"/>
              </w:rPr>
              <w:t>Connection attempts from unusual hosts</w:t>
            </w:r>
          </w:p>
        </w:tc>
        <w:tc>
          <w:tcPr>
            <w:tcW w:w="4680" w:type="dxa"/>
          </w:tcPr>
          <w:p w14:paraId="36A69E77" w14:textId="42540669" w:rsidR="0069458C" w:rsidRPr="00725A72" w:rsidRDefault="003B4602" w:rsidP="00CD012B">
            <w:pPr>
              <w:rPr>
                <w:rFonts w:ascii="Arial" w:eastAsia="Arial" w:hAnsi="Arial" w:cs="Arial"/>
                <w:sz w:val="16"/>
                <w:szCs w:val="16"/>
              </w:rPr>
            </w:pPr>
            <w:r w:rsidRPr="00725A72">
              <w:rPr>
                <w:rFonts w:ascii="Arial" w:eastAsia="Arial" w:hAnsi="Arial" w:cs="Arial"/>
                <w:sz w:val="16"/>
                <w:szCs w:val="16"/>
              </w:rPr>
              <w:t xml:space="preserve">Adversary may attempt connect to </w:t>
            </w:r>
            <w:r w:rsidR="00963BE0" w:rsidRPr="00725A72">
              <w:rPr>
                <w:rFonts w:ascii="Arial" w:eastAsia="Arial" w:hAnsi="Arial" w:cs="Arial"/>
                <w:sz w:val="16"/>
                <w:szCs w:val="16"/>
              </w:rPr>
              <w:t>hosts in the target network after profiling hosts and network map</w:t>
            </w:r>
            <w:r w:rsidR="00725A72">
              <w:rPr>
                <w:rFonts w:ascii="Arial" w:eastAsia="Arial" w:hAnsi="Arial" w:cs="Arial"/>
                <w:sz w:val="16"/>
                <w:szCs w:val="16"/>
              </w:rPr>
              <w:t>p</w:t>
            </w:r>
            <w:r w:rsidR="00963BE0" w:rsidRPr="00725A72">
              <w:rPr>
                <w:rFonts w:ascii="Arial" w:eastAsia="Arial" w:hAnsi="Arial" w:cs="Arial"/>
                <w:sz w:val="16"/>
                <w:szCs w:val="16"/>
              </w:rPr>
              <w:t>ing.</w:t>
            </w:r>
          </w:p>
        </w:tc>
      </w:tr>
    </w:tbl>
    <w:p w14:paraId="5B6400D7" w14:textId="6BA15416" w:rsidR="00050DAF" w:rsidRDefault="00050DAF" w:rsidP="00050DAF">
      <w:pPr>
        <w:pStyle w:val="paragraph"/>
        <w:spacing w:before="0" w:beforeAutospacing="0" w:after="0" w:afterAutospacing="0"/>
        <w:rPr>
          <w:rFonts w:ascii="Arial" w:eastAsia="Arial" w:hAnsi="Arial" w:cs="Arial"/>
          <w:sz w:val="22"/>
          <w:szCs w:val="22"/>
        </w:rPr>
      </w:pPr>
    </w:p>
    <w:p w14:paraId="2723C389" w14:textId="77777777" w:rsidR="00392D70" w:rsidRPr="009C2D05" w:rsidRDefault="00392D70" w:rsidP="00050DAF">
      <w:pPr>
        <w:pStyle w:val="paragraph"/>
        <w:spacing w:before="0" w:beforeAutospacing="0" w:after="0" w:afterAutospacing="0"/>
        <w:rPr>
          <w:rFonts w:ascii="Arial" w:eastAsia="Arial" w:hAnsi="Arial" w:cs="Arial"/>
          <w:sz w:val="22"/>
          <w:szCs w:val="22"/>
        </w:rPr>
      </w:pPr>
    </w:p>
    <w:p w14:paraId="37627B4F" w14:textId="77777777" w:rsidR="00D129C6" w:rsidRDefault="0071530B" w:rsidP="009C2D05">
      <w:pPr>
        <w:rPr>
          <w:rFonts w:ascii="Arial" w:eastAsia="Arial" w:hAnsi="Arial" w:cs="Arial"/>
        </w:rPr>
      </w:pPr>
      <w:commentRangeStart w:id="11"/>
      <w:r w:rsidRPr="009C2D05">
        <w:rPr>
          <w:rFonts w:ascii="Arial" w:eastAsia="Arial" w:hAnsi="Arial" w:cs="Arial"/>
        </w:rPr>
        <w:t>References</w:t>
      </w:r>
      <w:commentRangeEnd w:id="11"/>
      <w:r w:rsidR="00F8526D">
        <w:rPr>
          <w:rStyle w:val="CommentReference"/>
        </w:rPr>
        <w:commentReference w:id="11"/>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3876"/>
        <w:gridCol w:w="5474"/>
      </w:tblGrid>
      <w:tr w:rsidR="00F8526D" w:rsidRPr="00F8526D" w14:paraId="7149A723" w14:textId="77777777" w:rsidTr="00CD0616">
        <w:tc>
          <w:tcPr>
            <w:tcW w:w="3876" w:type="dxa"/>
          </w:tcPr>
          <w:p w14:paraId="614E23AD" w14:textId="77777777" w:rsidR="00F8526D" w:rsidRPr="00F8526D" w:rsidRDefault="00F8526D" w:rsidP="00F8526D">
            <w:pPr>
              <w:rPr>
                <w:rFonts w:ascii="Arial" w:hAnsi="Arial" w:cs="Arial"/>
                <w:sz w:val="20"/>
                <w:szCs w:val="20"/>
              </w:rPr>
            </w:pPr>
            <w:r w:rsidRPr="00F8526D">
              <w:rPr>
                <w:rFonts w:ascii="Arial" w:hAnsi="Arial" w:cs="Arial"/>
                <w:sz w:val="20"/>
                <w:szCs w:val="20"/>
              </w:rPr>
              <w:t>Name</w:t>
            </w:r>
          </w:p>
        </w:tc>
        <w:tc>
          <w:tcPr>
            <w:tcW w:w="5474" w:type="dxa"/>
          </w:tcPr>
          <w:p w14:paraId="0DBB9B83" w14:textId="77777777" w:rsidR="00F8526D" w:rsidRPr="00F8526D" w:rsidRDefault="00F8526D" w:rsidP="00F8526D">
            <w:pPr>
              <w:rPr>
                <w:rFonts w:ascii="Arial" w:hAnsi="Arial" w:cs="Arial"/>
                <w:sz w:val="20"/>
                <w:szCs w:val="20"/>
              </w:rPr>
            </w:pPr>
            <w:r w:rsidRPr="00F8526D">
              <w:rPr>
                <w:rFonts w:ascii="Arial" w:hAnsi="Arial" w:cs="Arial"/>
                <w:sz w:val="20"/>
                <w:szCs w:val="20"/>
              </w:rPr>
              <w:t>URL</w:t>
            </w:r>
          </w:p>
        </w:tc>
      </w:tr>
      <w:tr w:rsidR="00F8526D" w:rsidRPr="00F8526D" w14:paraId="2209701E" w14:textId="77777777" w:rsidTr="00CD0616">
        <w:tc>
          <w:tcPr>
            <w:tcW w:w="3876" w:type="dxa"/>
          </w:tcPr>
          <w:p w14:paraId="319DCC8C" w14:textId="77777777" w:rsidR="00F8526D" w:rsidRPr="00F8526D" w:rsidRDefault="00F8526D" w:rsidP="00F8526D">
            <w:pPr>
              <w:rPr>
                <w:rFonts w:ascii="Arial" w:hAnsi="Arial" w:cs="Arial"/>
                <w:sz w:val="20"/>
                <w:szCs w:val="20"/>
              </w:rPr>
            </w:pPr>
            <w:r w:rsidRPr="00F8526D">
              <w:rPr>
                <w:rFonts w:ascii="Arial" w:hAnsi="Arial" w:cs="Arial"/>
                <w:sz w:val="20"/>
                <w:szCs w:val="20"/>
              </w:rPr>
              <w:t xml:space="preserve">S.P. Rao, S. </w:t>
            </w:r>
            <w:proofErr w:type="spellStart"/>
            <w:r w:rsidRPr="00F8526D">
              <w:rPr>
                <w:rFonts w:ascii="Arial" w:hAnsi="Arial" w:cs="Arial"/>
                <w:sz w:val="20"/>
                <w:szCs w:val="20"/>
              </w:rPr>
              <w:t>Holtmanns</w:t>
            </w:r>
            <w:proofErr w:type="spellEnd"/>
            <w:r w:rsidRPr="00F8526D">
              <w:rPr>
                <w:rFonts w:ascii="Arial" w:hAnsi="Arial" w:cs="Arial"/>
                <w:sz w:val="20"/>
                <w:szCs w:val="20"/>
              </w:rPr>
              <w:t>, T. Aura: “Threat modeling framework for mobile communication systems”, May 2020</w:t>
            </w:r>
          </w:p>
        </w:tc>
        <w:tc>
          <w:tcPr>
            <w:tcW w:w="5474" w:type="dxa"/>
          </w:tcPr>
          <w:p w14:paraId="0DBCE0D1" w14:textId="7B28DE44" w:rsidR="00F8526D" w:rsidRPr="00F8526D" w:rsidRDefault="00F8526D" w:rsidP="00F8526D">
            <w:pPr>
              <w:rPr>
                <w:rFonts w:ascii="Arial" w:hAnsi="Arial" w:cs="Arial"/>
                <w:sz w:val="20"/>
                <w:szCs w:val="20"/>
              </w:rPr>
            </w:pPr>
            <w:r w:rsidRPr="00C250C5">
              <w:rPr>
                <w:rFonts w:ascii="Arial" w:hAnsi="Arial" w:cs="Arial"/>
                <w:sz w:val="20"/>
                <w:szCs w:val="20"/>
              </w:rPr>
              <w:t>https://arxiv.org/abs/2005.05110v1</w:t>
            </w:r>
            <w:r w:rsidRPr="00F8526D">
              <w:rPr>
                <w:rFonts w:ascii="Arial" w:hAnsi="Arial" w:cs="Arial"/>
                <w:sz w:val="20"/>
                <w:szCs w:val="20"/>
              </w:rPr>
              <w:t xml:space="preserve"> </w:t>
            </w:r>
          </w:p>
        </w:tc>
      </w:tr>
      <w:tr w:rsidR="007A2E7F" w:rsidRPr="00F8526D" w14:paraId="53EAF16C" w14:textId="77777777" w:rsidTr="00CD0616">
        <w:tc>
          <w:tcPr>
            <w:tcW w:w="3876" w:type="dxa"/>
          </w:tcPr>
          <w:p w14:paraId="75E20019" w14:textId="2F5CE374" w:rsidR="007A2E7F" w:rsidRPr="00F8526D" w:rsidRDefault="007A2E7F" w:rsidP="007A2E7F">
            <w:pPr>
              <w:rPr>
                <w:rFonts w:ascii="Arial" w:hAnsi="Arial" w:cs="Arial"/>
                <w:sz w:val="20"/>
                <w:szCs w:val="20"/>
              </w:rPr>
            </w:pPr>
            <w:r w:rsidRPr="006C19B4">
              <w:rPr>
                <w:rFonts w:ascii="Arial" w:hAnsi="Arial" w:cs="Arial"/>
                <w:sz w:val="20"/>
                <w:szCs w:val="20"/>
              </w:rPr>
              <w:t xml:space="preserve">R. Pell, S. </w:t>
            </w:r>
            <w:proofErr w:type="spellStart"/>
            <w:r w:rsidRPr="006C19B4">
              <w:rPr>
                <w:rFonts w:ascii="Arial" w:hAnsi="Arial" w:cs="Arial"/>
                <w:sz w:val="20"/>
                <w:szCs w:val="20"/>
              </w:rPr>
              <w:t>Moschoyiannis</w:t>
            </w:r>
            <w:proofErr w:type="spellEnd"/>
            <w:r w:rsidRPr="006C19B4">
              <w:rPr>
                <w:rFonts w:ascii="Arial" w:hAnsi="Arial" w:cs="Arial"/>
                <w:sz w:val="20"/>
                <w:szCs w:val="20"/>
              </w:rPr>
              <w:t xml:space="preserve">, E. </w:t>
            </w:r>
            <w:proofErr w:type="spellStart"/>
            <w:r w:rsidRPr="006C19B4">
              <w:rPr>
                <w:rFonts w:ascii="Arial" w:hAnsi="Arial" w:cs="Arial"/>
                <w:sz w:val="20"/>
                <w:szCs w:val="20"/>
              </w:rPr>
              <w:t>Panaousis</w:t>
            </w:r>
            <w:proofErr w:type="spellEnd"/>
            <w:r w:rsidRPr="006C19B4">
              <w:rPr>
                <w:rFonts w:ascii="Arial" w:hAnsi="Arial" w:cs="Arial"/>
                <w:sz w:val="20"/>
                <w:szCs w:val="20"/>
              </w:rPr>
              <w:t xml:space="preserve">, R. </w:t>
            </w:r>
            <w:proofErr w:type="spellStart"/>
            <w:r w:rsidRPr="006C19B4">
              <w:rPr>
                <w:rFonts w:ascii="Arial" w:hAnsi="Arial" w:cs="Arial"/>
                <w:sz w:val="20"/>
                <w:szCs w:val="20"/>
              </w:rPr>
              <w:t>Heartfield</w:t>
            </w:r>
            <w:proofErr w:type="spellEnd"/>
            <w:r w:rsidRPr="006C19B4">
              <w:rPr>
                <w:rFonts w:ascii="Arial" w:hAnsi="Arial" w:cs="Arial"/>
                <w:sz w:val="20"/>
                <w:szCs w:val="20"/>
              </w:rPr>
              <w:t>, “</w:t>
            </w:r>
            <w:r w:rsidRPr="006C19B4">
              <w:rPr>
                <w:rFonts w:ascii="Arial" w:eastAsia="Arial" w:hAnsi="Arial" w:cs="Arial"/>
                <w:sz w:val="20"/>
                <w:szCs w:val="20"/>
              </w:rPr>
              <w:t>Towards dynamic threat modelling in 5G core networks based on MITRE ATT&amp;CK</w:t>
            </w:r>
            <w:proofErr w:type="gramStart"/>
            <w:r w:rsidRPr="006C19B4">
              <w:rPr>
                <w:rFonts w:ascii="Arial" w:eastAsia="Arial" w:hAnsi="Arial" w:cs="Arial"/>
                <w:sz w:val="20"/>
                <w:szCs w:val="20"/>
              </w:rPr>
              <w:t>”,  October</w:t>
            </w:r>
            <w:proofErr w:type="gramEnd"/>
            <w:r w:rsidRPr="006C19B4">
              <w:rPr>
                <w:rFonts w:ascii="Arial" w:eastAsia="Arial" w:hAnsi="Arial" w:cs="Arial"/>
                <w:sz w:val="20"/>
                <w:szCs w:val="20"/>
              </w:rPr>
              <w:t xml:space="preserve"> 2021</w:t>
            </w:r>
          </w:p>
        </w:tc>
        <w:tc>
          <w:tcPr>
            <w:tcW w:w="5474" w:type="dxa"/>
          </w:tcPr>
          <w:p w14:paraId="7A2AB83D" w14:textId="665EE117" w:rsidR="007A2E7F" w:rsidRPr="00F8526D" w:rsidRDefault="007A2E7F" w:rsidP="007A2E7F">
            <w:r w:rsidRPr="00136C95">
              <w:rPr>
                <w:rFonts w:ascii="Arial" w:hAnsi="Arial" w:cs="Arial"/>
                <w:sz w:val="20"/>
                <w:szCs w:val="20"/>
              </w:rPr>
              <w:t>https://arxiv.org/abs/2108.11206</w:t>
            </w:r>
            <w:r w:rsidRPr="006C19B4">
              <w:rPr>
                <w:rFonts w:ascii="Arial" w:hAnsi="Arial" w:cs="Arial"/>
                <w:sz w:val="20"/>
                <w:szCs w:val="20"/>
              </w:rPr>
              <w:t xml:space="preserve"> </w:t>
            </w:r>
          </w:p>
        </w:tc>
      </w:tr>
    </w:tbl>
    <w:p w14:paraId="6762F406" w14:textId="77777777" w:rsidR="001D2E75" w:rsidRDefault="001D2E75" w:rsidP="00396428">
      <w:pPr>
        <w:rPr>
          <w:rFonts w:ascii="Arial" w:eastAsia="Arial" w:hAnsi="Arial" w:cs="Arial"/>
          <w:sz w:val="28"/>
          <w:szCs w:val="28"/>
        </w:rPr>
      </w:pPr>
    </w:p>
    <w:p w14:paraId="115FE8F5" w14:textId="6C236DA1" w:rsidR="005211C3" w:rsidRDefault="005211C3" w:rsidP="00ED515E">
      <w:pPr>
        <w:rPr>
          <w:rFonts w:ascii="Arial" w:eastAsia="Arial" w:hAnsi="Arial" w:cs="Arial"/>
          <w:sz w:val="28"/>
          <w:szCs w:val="28"/>
        </w:rPr>
      </w:pPr>
    </w:p>
    <w:p w14:paraId="3C87A68B" w14:textId="3B0D021B" w:rsidR="005211C3" w:rsidRDefault="005211C3" w:rsidP="00ED515E">
      <w:pPr>
        <w:rPr>
          <w:rFonts w:ascii="Arial" w:eastAsia="Arial" w:hAnsi="Arial" w:cs="Arial"/>
          <w:sz w:val="28"/>
          <w:szCs w:val="28"/>
        </w:rPr>
      </w:pPr>
    </w:p>
    <w:p w14:paraId="7D1696F4" w14:textId="77777777" w:rsidR="005211C3" w:rsidRPr="009C2D05" w:rsidRDefault="005211C3" w:rsidP="00ED515E">
      <w:pPr>
        <w:rPr>
          <w:sz w:val="22"/>
          <w:szCs w:val="22"/>
        </w:rPr>
      </w:pPr>
    </w:p>
    <w:sectPr w:rsidR="005211C3"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3-06-06T15:14:00Z" w:initials="MV">
    <w:p w14:paraId="42A044EC" w14:textId="77777777" w:rsidR="00DE6E51" w:rsidRDefault="00DE6E51" w:rsidP="00EC1924">
      <w:pPr>
        <w:pStyle w:val="CommentText"/>
      </w:pPr>
      <w:r>
        <w:rPr>
          <w:rStyle w:val="CommentReference"/>
        </w:rPr>
        <w:annotationRef/>
      </w:r>
      <w:r>
        <w:t>@Muddasar: please check these procedures I added.</w:t>
      </w:r>
    </w:p>
  </w:comment>
  <w:comment w:id="1" w:author="Muddasar S Ahmed" w:date="2023-06-28T08:02:00Z" w:initials="MA">
    <w:p w14:paraId="371C6FAF" w14:textId="4987515E" w:rsidR="7E3244F1" w:rsidRDefault="7E3244F1">
      <w:pPr>
        <w:pStyle w:val="CommentText"/>
      </w:pPr>
      <w:r>
        <w:t>reviewed and made a minor change.  "Network MANO tools" tools added for clarity</w:t>
      </w:r>
      <w:r>
        <w:rPr>
          <w:rStyle w:val="CommentReference"/>
        </w:rPr>
        <w:annotationRef/>
      </w:r>
    </w:p>
  </w:comment>
  <w:comment w:id="2" w:author="Eric I Arnoth" w:date="2022-04-28T15:20:00Z" w:initials="EIA">
    <w:p w14:paraId="3963FB7C" w14:textId="07CE86E1" w:rsidR="00433D2B" w:rsidRDefault="00433D2B">
      <w:pPr>
        <w:pStyle w:val="CommentText"/>
      </w:pPr>
      <w:r>
        <w:rPr>
          <w:rStyle w:val="CommentReference"/>
        </w:rPr>
        <w:annotationRef/>
      </w:r>
      <w:r>
        <w:t>As this is an addendum, we don’t need to restate the BLUF.</w:t>
      </w:r>
      <w:r>
        <w:rPr>
          <w:rStyle w:val="CommentReference"/>
        </w:rPr>
        <w:annotationRef/>
      </w:r>
    </w:p>
  </w:comment>
  <w:comment w:id="3" w:author="Eric I Arnoth" w:date="2022-04-28T15:21:00Z" w:initials="EIA">
    <w:p w14:paraId="7C7691EB" w14:textId="77777777" w:rsidR="00D64187" w:rsidRDefault="00D64187">
      <w:pPr>
        <w:pStyle w:val="CommentText"/>
      </w:pPr>
      <w:r>
        <w:rPr>
          <w:rStyle w:val="CommentReference"/>
        </w:rPr>
        <w:annotationRef/>
      </w:r>
      <w:r>
        <w:t>This seems vague.  What’s the 5G Context</w:t>
      </w:r>
      <w:r w:rsidR="00817EF9">
        <w:t xml:space="preserve"> specific addendum we’re making to this Technique?</w:t>
      </w:r>
      <w:r>
        <w:rPr>
          <w:rStyle w:val="CommentReference"/>
        </w:rPr>
        <w:annotationRef/>
      </w:r>
    </w:p>
    <w:p w14:paraId="6D1DAA0E" w14:textId="77777777" w:rsidR="00817EF9" w:rsidRDefault="00817EF9">
      <w:pPr>
        <w:pStyle w:val="CommentText"/>
      </w:pPr>
    </w:p>
    <w:p w14:paraId="0EC6C723" w14:textId="5FE7B802" w:rsidR="00817EF9" w:rsidRDefault="00817EF9">
      <w:pPr>
        <w:pStyle w:val="CommentText"/>
      </w:pPr>
      <w:r>
        <w:fldChar w:fldCharType="begin"/>
      </w:r>
      <w:r>
        <w:instrText xml:space="preserve"> HYPERLINK "mailto:msahmed@mitre.org" </w:instrText>
      </w:r>
      <w:bookmarkStart w:id="6" w:name="_@_5F507F8E3D2445CE80304E76EDEF7BFCZ"/>
      <w:r>
        <w:rPr>
          <w:rStyle w:val="Mention"/>
        </w:rPr>
        <w:fldChar w:fldCharType="separate"/>
      </w:r>
      <w:bookmarkEnd w:id="6"/>
      <w:r w:rsidRPr="00817EF9">
        <w:rPr>
          <w:rStyle w:val="Mention"/>
          <w:noProof/>
        </w:rPr>
        <w:t>@Muddasar S Ahmed</w:t>
      </w:r>
      <w:r>
        <w:fldChar w:fldCharType="end"/>
      </w:r>
    </w:p>
  </w:comment>
  <w:comment w:id="4" w:author="Muddasar S Ahmed" w:date="2022-06-07T22:54:00Z" w:initials="MA">
    <w:p w14:paraId="0BF6667E" w14:textId="370FAFC6" w:rsidR="00DF389A" w:rsidRDefault="00DF389A">
      <w:pPr>
        <w:pStyle w:val="CommentText"/>
      </w:pPr>
      <w:r>
        <w:fldChar w:fldCharType="begin"/>
      </w:r>
      <w:r>
        <w:instrText xml:space="preserve"> HYPERLINK "mailto:earnoth@mitre.org"</w:instrText>
      </w:r>
      <w:bookmarkStart w:id="7" w:name="_@_B1CE29391F5E475C858001DEC4B22544Z"/>
      <w:r>
        <w:fldChar w:fldCharType="separate"/>
      </w:r>
      <w:bookmarkEnd w:id="7"/>
      <w:r w:rsidRPr="00DF389A">
        <w:rPr>
          <w:rStyle w:val="Mention"/>
          <w:noProof/>
        </w:rPr>
        <w:t>@Eric I Arnoth</w:t>
      </w:r>
      <w:r>
        <w:fldChar w:fldCharType="end"/>
      </w:r>
      <w:r>
        <w:t xml:space="preserve"> added 5G Context</w:t>
      </w:r>
      <w:r>
        <w:rPr>
          <w:rStyle w:val="CommentReference"/>
        </w:rPr>
        <w:annotationRef/>
      </w:r>
      <w:r>
        <w:rPr>
          <w:rStyle w:val="CommentReference"/>
        </w:rPr>
        <w:annotationRef/>
      </w:r>
    </w:p>
  </w:comment>
  <w:comment w:id="5" w:author="M. Vanderveen" w:date="2022-08-02T10:05:00Z" w:initials="MV">
    <w:p w14:paraId="436E7A50" w14:textId="77777777" w:rsidR="00CD21BC" w:rsidRDefault="00CD21BC" w:rsidP="000E395C">
      <w:pPr>
        <w:pStyle w:val="CommentText"/>
      </w:pPr>
      <w:r>
        <w:rPr>
          <w:rStyle w:val="CommentReference"/>
        </w:rPr>
        <w:annotationRef/>
      </w:r>
      <w:r>
        <w:t>This text was in quotes and does not show on the website. I removed the ". Let's hope this works.</w:t>
      </w:r>
      <w:r>
        <w:rPr>
          <w:rStyle w:val="CommentReference"/>
        </w:rPr>
        <w:annotationRef/>
      </w:r>
    </w:p>
  </w:comment>
  <w:comment w:id="8" w:author="Muddasar S Ahmed" w:date="2023-04-14T15:54:00Z" w:initials="MA">
    <w:p w14:paraId="38D43A58" w14:textId="235D7E42" w:rsidR="16202888" w:rsidRDefault="16202888">
      <w:pPr>
        <w:pStyle w:val="CommentText"/>
      </w:pPr>
      <w:r>
        <w:t>This text was added at the suggestion of Silke.  Row 20- PWC tab in ExternalCMTS.xls.</w:t>
      </w:r>
      <w:r>
        <w:rPr>
          <w:rStyle w:val="CommentReference"/>
        </w:rPr>
        <w:annotationRef/>
      </w:r>
    </w:p>
  </w:comment>
  <w:comment w:id="9" w:author="M. Vanderveen" w:date="2022-08-02T10:08:00Z" w:initials="MV">
    <w:p w14:paraId="0B90EA1A" w14:textId="34815A57" w:rsidR="003F63FD" w:rsidRDefault="003F63FD" w:rsidP="002801D2">
      <w:pPr>
        <w:pStyle w:val="CommentText"/>
      </w:pPr>
      <w:r>
        <w:rPr>
          <w:rStyle w:val="CommentReference"/>
        </w:rPr>
        <w:annotationRef/>
      </w:r>
      <w:r>
        <w:fldChar w:fldCharType="begin"/>
      </w:r>
      <w:r>
        <w:instrText xml:space="preserve"> HYPERLINK "mailto:msahmed@mitre.org" </w:instrText>
      </w:r>
      <w:bookmarkStart w:id="10" w:name="_@_B73BF6A02EFC45DD9339E90242EEDADAZ"/>
      <w:r>
        <w:fldChar w:fldCharType="separate"/>
      </w:r>
      <w:bookmarkEnd w:id="10"/>
      <w:r w:rsidRPr="003F63FD">
        <w:rPr>
          <w:rStyle w:val="Mention"/>
          <w:noProof/>
        </w:rPr>
        <w:t>@Muddasar S Ahmed</w:t>
      </w:r>
      <w:r>
        <w:fldChar w:fldCharType="end"/>
      </w:r>
      <w:r>
        <w:t>; All T1599 need to have Observed/POC etc. written in. But the default seems to be theoretical. Still, should be Observed if it happened in other (non-telecom) cloud deployments?.</w:t>
      </w:r>
    </w:p>
  </w:comment>
  <w:comment w:id="11" w:author="M. Vanderveen" w:date="2022-05-17T22:15:00Z" w:initials="MV">
    <w:p w14:paraId="28C70452" w14:textId="2DFFC255" w:rsidR="00F8526D" w:rsidRDefault="00F8526D">
      <w:pPr>
        <w:pStyle w:val="CommentText"/>
      </w:pPr>
      <w:r>
        <w:rPr>
          <w:rStyle w:val="CommentReference"/>
        </w:rPr>
        <w:annotationRef/>
      </w:r>
      <w:r>
        <w:t>Added and accepted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044EC" w15:done="0"/>
  <w15:commentEx w15:paraId="371C6FAF" w15:paraIdParent="42A044EC" w15:done="0"/>
  <w15:commentEx w15:paraId="3963FB7C" w15:done="1"/>
  <w15:commentEx w15:paraId="0EC6C723" w15:done="0"/>
  <w15:commentEx w15:paraId="0BF6667E" w15:paraIdParent="0EC6C723" w15:done="0"/>
  <w15:commentEx w15:paraId="436E7A50" w15:paraIdParent="0EC6C723" w15:done="0"/>
  <w15:commentEx w15:paraId="38D43A58" w15:done="0"/>
  <w15:commentEx w15:paraId="0B90EA1A" w15:done="0"/>
  <w15:commentEx w15:paraId="28C704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CBB8" w16cex:dateUtc="2023-06-06T22:14:00Z"/>
  <w16cex:commentExtensible w16cex:durableId="5194F1AF" w16cex:dateUtc="2023-06-28T12:02:00Z"/>
  <w16cex:commentExtensible w16cex:durableId="26152F54" w16cex:dateUtc="2022-04-28T19:20:00Z"/>
  <w16cex:commentExtensible w16cex:durableId="26152F6F" w16cex:dateUtc="2022-04-28T19:21:00Z"/>
  <w16cex:commentExtensible w16cex:durableId="5FCFBAE7" w16cex:dateUtc="2022-06-08T02:54:00Z"/>
  <w16cex:commentExtensible w16cex:durableId="2693757A" w16cex:dateUtc="2022-08-02T17:05:00Z"/>
  <w16cex:commentExtensible w16cex:durableId="3A8A8446" w16cex:dateUtc="2023-04-14T19:54:00Z"/>
  <w16cex:commentExtensible w16cex:durableId="2693762E" w16cex:dateUtc="2022-08-02T17:08:00Z"/>
  <w16cex:commentExtensible w16cex:durableId="262E72E3" w16cex:dateUtc="2022-05-18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044EC" w16cid:durableId="2829CBB8"/>
  <w16cid:commentId w16cid:paraId="371C6FAF" w16cid:durableId="5194F1AF"/>
  <w16cid:commentId w16cid:paraId="3963FB7C" w16cid:durableId="26152F54"/>
  <w16cid:commentId w16cid:paraId="0EC6C723" w16cid:durableId="26152F6F"/>
  <w16cid:commentId w16cid:paraId="0BF6667E" w16cid:durableId="5FCFBAE7"/>
  <w16cid:commentId w16cid:paraId="436E7A50" w16cid:durableId="2693757A"/>
  <w16cid:commentId w16cid:paraId="38D43A58" w16cid:durableId="3A8A8446"/>
  <w16cid:commentId w16cid:paraId="0B90EA1A" w16cid:durableId="2693762E"/>
  <w16cid:commentId w16cid:paraId="28C70452" w16cid:durableId="262E7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3AC3E" w14:textId="77777777" w:rsidR="00CD41A9" w:rsidRDefault="00CD41A9" w:rsidP="00684328">
      <w:r>
        <w:separator/>
      </w:r>
    </w:p>
  </w:endnote>
  <w:endnote w:type="continuationSeparator" w:id="0">
    <w:p w14:paraId="47FB1436" w14:textId="77777777" w:rsidR="00CD41A9" w:rsidRDefault="00CD41A9" w:rsidP="00684328">
      <w:r>
        <w:continuationSeparator/>
      </w:r>
    </w:p>
  </w:endnote>
  <w:endnote w:type="continuationNotice" w:id="1">
    <w:p w14:paraId="58E59804" w14:textId="77777777" w:rsidR="00CD41A9" w:rsidRDefault="00CD41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20515" w14:textId="77777777" w:rsidR="00CD41A9" w:rsidRDefault="00CD41A9" w:rsidP="00684328">
      <w:r>
        <w:separator/>
      </w:r>
    </w:p>
  </w:footnote>
  <w:footnote w:type="continuationSeparator" w:id="0">
    <w:p w14:paraId="1A310411" w14:textId="77777777" w:rsidR="00CD41A9" w:rsidRDefault="00CD41A9" w:rsidP="00684328">
      <w:r>
        <w:continuationSeparator/>
      </w:r>
    </w:p>
  </w:footnote>
  <w:footnote w:type="continuationNotice" w:id="1">
    <w:p w14:paraId="70B6111C" w14:textId="77777777" w:rsidR="00CD41A9" w:rsidRDefault="00CD41A9"/>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93E97"/>
    <w:multiLevelType w:val="hybridMultilevel"/>
    <w:tmpl w:val="BDD2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6730D"/>
    <w:multiLevelType w:val="hybridMultilevel"/>
    <w:tmpl w:val="9D125E46"/>
    <w:lvl w:ilvl="0" w:tplc="9CC232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206323">
    <w:abstractNumId w:val="2"/>
  </w:num>
  <w:num w:numId="2" w16cid:durableId="866329104">
    <w:abstractNumId w:val="1"/>
  </w:num>
  <w:num w:numId="3" w16cid:durableId="1995841200">
    <w:abstractNumId w:val="5"/>
  </w:num>
  <w:num w:numId="4" w16cid:durableId="1679887739">
    <w:abstractNumId w:val="7"/>
  </w:num>
  <w:num w:numId="5" w16cid:durableId="2123844067">
    <w:abstractNumId w:val="8"/>
  </w:num>
  <w:num w:numId="6" w16cid:durableId="1793162114">
    <w:abstractNumId w:val="0"/>
  </w:num>
  <w:num w:numId="7" w16cid:durableId="1001351877">
    <w:abstractNumId w:val="4"/>
  </w:num>
  <w:num w:numId="8" w16cid:durableId="457065765">
    <w:abstractNumId w:val="3"/>
  </w:num>
  <w:num w:numId="9" w16cid:durableId="140471510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Muddasar S Ahmed">
    <w15:presenceInfo w15:providerId="AD" w15:userId="S::msahmed@mitre.org::9fc13818-4c7a-4eae-a2bb-41640fefffce"/>
  </w15:person>
  <w15:person w15:author="Eric I Arnoth">
    <w15:presenceInfo w15:providerId="AD" w15:userId="S::EARNOTH@MITRE.ORG::6a19d543-3516-4ad0-ad82-7312d9ebe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16A5C"/>
    <w:rsid w:val="00020259"/>
    <w:rsid w:val="000227C6"/>
    <w:rsid w:val="000235EF"/>
    <w:rsid w:val="00023B84"/>
    <w:rsid w:val="0003387A"/>
    <w:rsid w:val="0003460D"/>
    <w:rsid w:val="00036760"/>
    <w:rsid w:val="00046138"/>
    <w:rsid w:val="00047624"/>
    <w:rsid w:val="00050DAF"/>
    <w:rsid w:val="00070C5B"/>
    <w:rsid w:val="0007391A"/>
    <w:rsid w:val="000820C2"/>
    <w:rsid w:val="0009587C"/>
    <w:rsid w:val="00095BA5"/>
    <w:rsid w:val="000A055F"/>
    <w:rsid w:val="000B401D"/>
    <w:rsid w:val="000C36BD"/>
    <w:rsid w:val="000D4FFB"/>
    <w:rsid w:val="000F1C22"/>
    <w:rsid w:val="000F3FE0"/>
    <w:rsid w:val="00102859"/>
    <w:rsid w:val="001036B2"/>
    <w:rsid w:val="00105FDD"/>
    <w:rsid w:val="00111AF0"/>
    <w:rsid w:val="00122B07"/>
    <w:rsid w:val="00133783"/>
    <w:rsid w:val="001364A1"/>
    <w:rsid w:val="00136C95"/>
    <w:rsid w:val="00137A9E"/>
    <w:rsid w:val="00146E94"/>
    <w:rsid w:val="00153411"/>
    <w:rsid w:val="00166765"/>
    <w:rsid w:val="0017483E"/>
    <w:rsid w:val="0019483A"/>
    <w:rsid w:val="001A5A73"/>
    <w:rsid w:val="001B6C23"/>
    <w:rsid w:val="001C4D7E"/>
    <w:rsid w:val="001D026C"/>
    <w:rsid w:val="001D2E75"/>
    <w:rsid w:val="001D4725"/>
    <w:rsid w:val="001F69CC"/>
    <w:rsid w:val="00200581"/>
    <w:rsid w:val="00213376"/>
    <w:rsid w:val="0021640F"/>
    <w:rsid w:val="002304E9"/>
    <w:rsid w:val="00234776"/>
    <w:rsid w:val="002439C3"/>
    <w:rsid w:val="0024470B"/>
    <w:rsid w:val="00247B2A"/>
    <w:rsid w:val="0025127D"/>
    <w:rsid w:val="002574F0"/>
    <w:rsid w:val="00261A52"/>
    <w:rsid w:val="0027306B"/>
    <w:rsid w:val="00293311"/>
    <w:rsid w:val="00294FFC"/>
    <w:rsid w:val="002A0C56"/>
    <w:rsid w:val="002B03B3"/>
    <w:rsid w:val="002B0434"/>
    <w:rsid w:val="002B3B7E"/>
    <w:rsid w:val="002B644D"/>
    <w:rsid w:val="002C3F37"/>
    <w:rsid w:val="002D3AE2"/>
    <w:rsid w:val="002E4647"/>
    <w:rsid w:val="002F3081"/>
    <w:rsid w:val="002F3684"/>
    <w:rsid w:val="0030258D"/>
    <w:rsid w:val="00305015"/>
    <w:rsid w:val="00315B29"/>
    <w:rsid w:val="00334BE4"/>
    <w:rsid w:val="00335DF2"/>
    <w:rsid w:val="00342DF6"/>
    <w:rsid w:val="00344E77"/>
    <w:rsid w:val="00347995"/>
    <w:rsid w:val="00352712"/>
    <w:rsid w:val="00364BD2"/>
    <w:rsid w:val="0037700C"/>
    <w:rsid w:val="003844FA"/>
    <w:rsid w:val="00392D70"/>
    <w:rsid w:val="00396428"/>
    <w:rsid w:val="003A236C"/>
    <w:rsid w:val="003B4602"/>
    <w:rsid w:val="003B727E"/>
    <w:rsid w:val="003C184C"/>
    <w:rsid w:val="003D3188"/>
    <w:rsid w:val="003D6861"/>
    <w:rsid w:val="003F11D7"/>
    <w:rsid w:val="003F4A2F"/>
    <w:rsid w:val="003F63FD"/>
    <w:rsid w:val="00400AB5"/>
    <w:rsid w:val="004017FA"/>
    <w:rsid w:val="00402818"/>
    <w:rsid w:val="00402DA4"/>
    <w:rsid w:val="00433D2B"/>
    <w:rsid w:val="00446E1E"/>
    <w:rsid w:val="00451DF6"/>
    <w:rsid w:val="004528D8"/>
    <w:rsid w:val="00462E9D"/>
    <w:rsid w:val="00467896"/>
    <w:rsid w:val="00483DE2"/>
    <w:rsid w:val="00485E56"/>
    <w:rsid w:val="00495FD7"/>
    <w:rsid w:val="004A3076"/>
    <w:rsid w:val="004A4582"/>
    <w:rsid w:val="004A76DF"/>
    <w:rsid w:val="004C48B1"/>
    <w:rsid w:val="004C71F3"/>
    <w:rsid w:val="004D0503"/>
    <w:rsid w:val="004E68DA"/>
    <w:rsid w:val="00504033"/>
    <w:rsid w:val="005044B9"/>
    <w:rsid w:val="00506230"/>
    <w:rsid w:val="005071A3"/>
    <w:rsid w:val="00511A3E"/>
    <w:rsid w:val="005211C3"/>
    <w:rsid w:val="00521C31"/>
    <w:rsid w:val="00534FB0"/>
    <w:rsid w:val="00543ACB"/>
    <w:rsid w:val="005522E2"/>
    <w:rsid w:val="005561EE"/>
    <w:rsid w:val="00563136"/>
    <w:rsid w:val="00567BC0"/>
    <w:rsid w:val="00573192"/>
    <w:rsid w:val="0058328E"/>
    <w:rsid w:val="00594C66"/>
    <w:rsid w:val="00595F29"/>
    <w:rsid w:val="00596254"/>
    <w:rsid w:val="00597C17"/>
    <w:rsid w:val="005B4E3D"/>
    <w:rsid w:val="005C20B9"/>
    <w:rsid w:val="005D75DB"/>
    <w:rsid w:val="0061115D"/>
    <w:rsid w:val="00613A64"/>
    <w:rsid w:val="00614601"/>
    <w:rsid w:val="0061635D"/>
    <w:rsid w:val="00616C4E"/>
    <w:rsid w:val="00620DC7"/>
    <w:rsid w:val="0062500E"/>
    <w:rsid w:val="006276C3"/>
    <w:rsid w:val="00641720"/>
    <w:rsid w:val="0064279D"/>
    <w:rsid w:val="00642EA0"/>
    <w:rsid w:val="00651E89"/>
    <w:rsid w:val="00654FCF"/>
    <w:rsid w:val="00655C5B"/>
    <w:rsid w:val="006562B5"/>
    <w:rsid w:val="00660D47"/>
    <w:rsid w:val="0066113C"/>
    <w:rsid w:val="006651CD"/>
    <w:rsid w:val="006707C2"/>
    <w:rsid w:val="00680BAC"/>
    <w:rsid w:val="00682D53"/>
    <w:rsid w:val="00683CA7"/>
    <w:rsid w:val="00684328"/>
    <w:rsid w:val="0069458C"/>
    <w:rsid w:val="00697ECB"/>
    <w:rsid w:val="006A4E68"/>
    <w:rsid w:val="006A76AA"/>
    <w:rsid w:val="006C3194"/>
    <w:rsid w:val="006D7732"/>
    <w:rsid w:val="006E12AB"/>
    <w:rsid w:val="006E20A5"/>
    <w:rsid w:val="006E2F2D"/>
    <w:rsid w:val="006E4EBB"/>
    <w:rsid w:val="006F4FA3"/>
    <w:rsid w:val="007001DA"/>
    <w:rsid w:val="00704C25"/>
    <w:rsid w:val="0070712E"/>
    <w:rsid w:val="00711A2D"/>
    <w:rsid w:val="0071530B"/>
    <w:rsid w:val="00720F86"/>
    <w:rsid w:val="00721106"/>
    <w:rsid w:val="00723C57"/>
    <w:rsid w:val="00725A72"/>
    <w:rsid w:val="007273BE"/>
    <w:rsid w:val="00732242"/>
    <w:rsid w:val="00734518"/>
    <w:rsid w:val="0073644D"/>
    <w:rsid w:val="007417F1"/>
    <w:rsid w:val="00742C55"/>
    <w:rsid w:val="0075512E"/>
    <w:rsid w:val="0075553E"/>
    <w:rsid w:val="00767BFC"/>
    <w:rsid w:val="007833C6"/>
    <w:rsid w:val="00796225"/>
    <w:rsid w:val="007A2E7F"/>
    <w:rsid w:val="007A4C0F"/>
    <w:rsid w:val="007B5448"/>
    <w:rsid w:val="007C087F"/>
    <w:rsid w:val="007C6E0D"/>
    <w:rsid w:val="007C7EDB"/>
    <w:rsid w:val="007E5079"/>
    <w:rsid w:val="00800210"/>
    <w:rsid w:val="00804D03"/>
    <w:rsid w:val="0081586C"/>
    <w:rsid w:val="00817EF9"/>
    <w:rsid w:val="0082392D"/>
    <w:rsid w:val="008245F3"/>
    <w:rsid w:val="00824CBC"/>
    <w:rsid w:val="00825C0F"/>
    <w:rsid w:val="0085584A"/>
    <w:rsid w:val="008604CF"/>
    <w:rsid w:val="008624E2"/>
    <w:rsid w:val="00882829"/>
    <w:rsid w:val="0089398F"/>
    <w:rsid w:val="008A14D9"/>
    <w:rsid w:val="008A2FE1"/>
    <w:rsid w:val="008B2D8D"/>
    <w:rsid w:val="008B53DA"/>
    <w:rsid w:val="008B5F90"/>
    <w:rsid w:val="008C2D94"/>
    <w:rsid w:val="008C47D0"/>
    <w:rsid w:val="008D4473"/>
    <w:rsid w:val="008E0D12"/>
    <w:rsid w:val="008E2CA2"/>
    <w:rsid w:val="008F6F76"/>
    <w:rsid w:val="0090158D"/>
    <w:rsid w:val="00901A3F"/>
    <w:rsid w:val="00903CD3"/>
    <w:rsid w:val="00911294"/>
    <w:rsid w:val="0091486C"/>
    <w:rsid w:val="009159CD"/>
    <w:rsid w:val="00917049"/>
    <w:rsid w:val="00922A49"/>
    <w:rsid w:val="00926A04"/>
    <w:rsid w:val="00935BFC"/>
    <w:rsid w:val="00943D98"/>
    <w:rsid w:val="00946CBE"/>
    <w:rsid w:val="00950B69"/>
    <w:rsid w:val="00963BE0"/>
    <w:rsid w:val="0096534E"/>
    <w:rsid w:val="009833CC"/>
    <w:rsid w:val="00984927"/>
    <w:rsid w:val="009A351F"/>
    <w:rsid w:val="009A3E22"/>
    <w:rsid w:val="009A60F4"/>
    <w:rsid w:val="009A647D"/>
    <w:rsid w:val="009B6CBF"/>
    <w:rsid w:val="009B6E86"/>
    <w:rsid w:val="009C2D05"/>
    <w:rsid w:val="009C5FC3"/>
    <w:rsid w:val="009D5DBB"/>
    <w:rsid w:val="009F4700"/>
    <w:rsid w:val="009F4A04"/>
    <w:rsid w:val="009F7F61"/>
    <w:rsid w:val="00A02679"/>
    <w:rsid w:val="00A146CD"/>
    <w:rsid w:val="00A151F0"/>
    <w:rsid w:val="00A24811"/>
    <w:rsid w:val="00A32C94"/>
    <w:rsid w:val="00A40786"/>
    <w:rsid w:val="00A43BE7"/>
    <w:rsid w:val="00A61C28"/>
    <w:rsid w:val="00A61D29"/>
    <w:rsid w:val="00A6505C"/>
    <w:rsid w:val="00A67743"/>
    <w:rsid w:val="00A857FB"/>
    <w:rsid w:val="00A87268"/>
    <w:rsid w:val="00A94926"/>
    <w:rsid w:val="00AA0D3E"/>
    <w:rsid w:val="00AA28A4"/>
    <w:rsid w:val="00AB004E"/>
    <w:rsid w:val="00AB3B8D"/>
    <w:rsid w:val="00AB5E23"/>
    <w:rsid w:val="00AB5E5A"/>
    <w:rsid w:val="00AE2900"/>
    <w:rsid w:val="00AF06DC"/>
    <w:rsid w:val="00AF2A1B"/>
    <w:rsid w:val="00B119A9"/>
    <w:rsid w:val="00B147F1"/>
    <w:rsid w:val="00B16654"/>
    <w:rsid w:val="00B204B6"/>
    <w:rsid w:val="00B27278"/>
    <w:rsid w:val="00B36FEA"/>
    <w:rsid w:val="00B37273"/>
    <w:rsid w:val="00B45D0F"/>
    <w:rsid w:val="00B626C7"/>
    <w:rsid w:val="00B64733"/>
    <w:rsid w:val="00B71B9D"/>
    <w:rsid w:val="00B830BC"/>
    <w:rsid w:val="00B87055"/>
    <w:rsid w:val="00B92366"/>
    <w:rsid w:val="00B944B3"/>
    <w:rsid w:val="00B97934"/>
    <w:rsid w:val="00B97986"/>
    <w:rsid w:val="00BA02E2"/>
    <w:rsid w:val="00BA1980"/>
    <w:rsid w:val="00BA2D65"/>
    <w:rsid w:val="00BA7BC6"/>
    <w:rsid w:val="00BB0650"/>
    <w:rsid w:val="00BB5BAC"/>
    <w:rsid w:val="00BC7E10"/>
    <w:rsid w:val="00BE2DE2"/>
    <w:rsid w:val="00BE61CA"/>
    <w:rsid w:val="00C0105E"/>
    <w:rsid w:val="00C06A3C"/>
    <w:rsid w:val="00C22712"/>
    <w:rsid w:val="00C250C5"/>
    <w:rsid w:val="00C273E9"/>
    <w:rsid w:val="00C27B61"/>
    <w:rsid w:val="00C34AC5"/>
    <w:rsid w:val="00C547C4"/>
    <w:rsid w:val="00C605AB"/>
    <w:rsid w:val="00C72FF5"/>
    <w:rsid w:val="00C76AB1"/>
    <w:rsid w:val="00C77E14"/>
    <w:rsid w:val="00C80DC3"/>
    <w:rsid w:val="00C92535"/>
    <w:rsid w:val="00C9697D"/>
    <w:rsid w:val="00C9758F"/>
    <w:rsid w:val="00CA13AC"/>
    <w:rsid w:val="00CA147E"/>
    <w:rsid w:val="00CA5290"/>
    <w:rsid w:val="00CB73D0"/>
    <w:rsid w:val="00CC217C"/>
    <w:rsid w:val="00CC7286"/>
    <w:rsid w:val="00CD21BC"/>
    <w:rsid w:val="00CD2657"/>
    <w:rsid w:val="00CD337C"/>
    <w:rsid w:val="00CD41A9"/>
    <w:rsid w:val="00CD62F4"/>
    <w:rsid w:val="00CE1A7F"/>
    <w:rsid w:val="00CE4191"/>
    <w:rsid w:val="00D129C6"/>
    <w:rsid w:val="00D12B5F"/>
    <w:rsid w:val="00D2209F"/>
    <w:rsid w:val="00D24AD7"/>
    <w:rsid w:val="00D35F79"/>
    <w:rsid w:val="00D46E87"/>
    <w:rsid w:val="00D52A4E"/>
    <w:rsid w:val="00D6279E"/>
    <w:rsid w:val="00D64187"/>
    <w:rsid w:val="00D65606"/>
    <w:rsid w:val="00D7138A"/>
    <w:rsid w:val="00D83453"/>
    <w:rsid w:val="00D86B9B"/>
    <w:rsid w:val="00D977F8"/>
    <w:rsid w:val="00DA1E92"/>
    <w:rsid w:val="00DA4B3B"/>
    <w:rsid w:val="00DA63FB"/>
    <w:rsid w:val="00DA7D53"/>
    <w:rsid w:val="00DC2D9A"/>
    <w:rsid w:val="00DD0F97"/>
    <w:rsid w:val="00DE6E51"/>
    <w:rsid w:val="00DF00DF"/>
    <w:rsid w:val="00DF389A"/>
    <w:rsid w:val="00E1076A"/>
    <w:rsid w:val="00E26CD2"/>
    <w:rsid w:val="00E33E61"/>
    <w:rsid w:val="00E33FB8"/>
    <w:rsid w:val="00E410E7"/>
    <w:rsid w:val="00E41EC7"/>
    <w:rsid w:val="00E44921"/>
    <w:rsid w:val="00E46C36"/>
    <w:rsid w:val="00E53BBB"/>
    <w:rsid w:val="00E5475E"/>
    <w:rsid w:val="00E62002"/>
    <w:rsid w:val="00E65E9E"/>
    <w:rsid w:val="00E67B2B"/>
    <w:rsid w:val="00E7144D"/>
    <w:rsid w:val="00E858AD"/>
    <w:rsid w:val="00E85D5F"/>
    <w:rsid w:val="00E87705"/>
    <w:rsid w:val="00EB3406"/>
    <w:rsid w:val="00EB45B4"/>
    <w:rsid w:val="00EB6DC6"/>
    <w:rsid w:val="00EC1F67"/>
    <w:rsid w:val="00EC20A3"/>
    <w:rsid w:val="00EC4996"/>
    <w:rsid w:val="00EC778A"/>
    <w:rsid w:val="00EC789A"/>
    <w:rsid w:val="00ED515E"/>
    <w:rsid w:val="00EE3FDB"/>
    <w:rsid w:val="00EE476F"/>
    <w:rsid w:val="00F149D8"/>
    <w:rsid w:val="00F1771F"/>
    <w:rsid w:val="00F20053"/>
    <w:rsid w:val="00F22E20"/>
    <w:rsid w:val="00F236E6"/>
    <w:rsid w:val="00F236F9"/>
    <w:rsid w:val="00F37370"/>
    <w:rsid w:val="00F406A5"/>
    <w:rsid w:val="00F44117"/>
    <w:rsid w:val="00F468DF"/>
    <w:rsid w:val="00F475B5"/>
    <w:rsid w:val="00F67389"/>
    <w:rsid w:val="00F67BD1"/>
    <w:rsid w:val="00F73B8A"/>
    <w:rsid w:val="00F75C35"/>
    <w:rsid w:val="00F81578"/>
    <w:rsid w:val="00F84DE1"/>
    <w:rsid w:val="00F84FE1"/>
    <w:rsid w:val="00F8526D"/>
    <w:rsid w:val="00F9488E"/>
    <w:rsid w:val="00F977D5"/>
    <w:rsid w:val="00FA28C1"/>
    <w:rsid w:val="00FA6D1A"/>
    <w:rsid w:val="00FA6D94"/>
    <w:rsid w:val="00FC061C"/>
    <w:rsid w:val="00FD0D84"/>
    <w:rsid w:val="00FD3FB6"/>
    <w:rsid w:val="00FD46C5"/>
    <w:rsid w:val="00FD46F7"/>
    <w:rsid w:val="00FF4ECF"/>
    <w:rsid w:val="020E0CB8"/>
    <w:rsid w:val="0272C9E8"/>
    <w:rsid w:val="02DD56C8"/>
    <w:rsid w:val="055343C9"/>
    <w:rsid w:val="0614F78A"/>
    <w:rsid w:val="07561C29"/>
    <w:rsid w:val="0A8A49C0"/>
    <w:rsid w:val="0CD7D0F3"/>
    <w:rsid w:val="0F4A1830"/>
    <w:rsid w:val="10AE6D37"/>
    <w:rsid w:val="1213055B"/>
    <w:rsid w:val="121B3D24"/>
    <w:rsid w:val="16202888"/>
    <w:rsid w:val="16410265"/>
    <w:rsid w:val="1B78D279"/>
    <w:rsid w:val="1B94307D"/>
    <w:rsid w:val="1D3000DE"/>
    <w:rsid w:val="1E2D3C26"/>
    <w:rsid w:val="1F3540B2"/>
    <w:rsid w:val="207E067B"/>
    <w:rsid w:val="21D40D08"/>
    <w:rsid w:val="25402414"/>
    <w:rsid w:val="25900B44"/>
    <w:rsid w:val="298C1DEC"/>
    <w:rsid w:val="2CEB8C05"/>
    <w:rsid w:val="30351359"/>
    <w:rsid w:val="30A83FD0"/>
    <w:rsid w:val="31972FD1"/>
    <w:rsid w:val="3224D91A"/>
    <w:rsid w:val="340E251D"/>
    <w:rsid w:val="36B4E760"/>
    <w:rsid w:val="38B7E029"/>
    <w:rsid w:val="39A86875"/>
    <w:rsid w:val="3ABFFFB0"/>
    <w:rsid w:val="3E1DBAAB"/>
    <w:rsid w:val="3FBBD3EE"/>
    <w:rsid w:val="41779FE1"/>
    <w:rsid w:val="43D56433"/>
    <w:rsid w:val="4518897A"/>
    <w:rsid w:val="4B0E0084"/>
    <w:rsid w:val="50A9D464"/>
    <w:rsid w:val="527A9596"/>
    <w:rsid w:val="52F3DF1A"/>
    <w:rsid w:val="55FBBFD3"/>
    <w:rsid w:val="59336095"/>
    <w:rsid w:val="5986D52C"/>
    <w:rsid w:val="5AB11166"/>
    <w:rsid w:val="5D6A58E3"/>
    <w:rsid w:val="5FC402E1"/>
    <w:rsid w:val="61072A8D"/>
    <w:rsid w:val="61FBA80F"/>
    <w:rsid w:val="62BBF70B"/>
    <w:rsid w:val="6487ACDB"/>
    <w:rsid w:val="66BE606F"/>
    <w:rsid w:val="6850B236"/>
    <w:rsid w:val="6A05FF65"/>
    <w:rsid w:val="6BA1CFC6"/>
    <w:rsid w:val="6FC0B369"/>
    <w:rsid w:val="717C8B7B"/>
    <w:rsid w:val="72306066"/>
    <w:rsid w:val="728E2306"/>
    <w:rsid w:val="730D47F3"/>
    <w:rsid w:val="771ABF0E"/>
    <w:rsid w:val="78666845"/>
    <w:rsid w:val="795A48C9"/>
    <w:rsid w:val="7B5C7714"/>
    <w:rsid w:val="7D3A9B94"/>
    <w:rsid w:val="7E3244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sid w:val="00817EF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8605">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5343">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53059473">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770000675">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7588232">
      <w:bodyDiv w:val="1"/>
      <w:marLeft w:val="0"/>
      <w:marRight w:val="0"/>
      <w:marTop w:val="0"/>
      <w:marBottom w:val="0"/>
      <w:divBdr>
        <w:top w:val="none" w:sz="0" w:space="0" w:color="auto"/>
        <w:left w:val="none" w:sz="0" w:space="0" w:color="auto"/>
        <w:bottom w:val="none" w:sz="0" w:space="0" w:color="auto"/>
        <w:right w:val="none" w:sz="0" w:space="0" w:color="auto"/>
      </w:divBdr>
    </w:div>
    <w:div w:id="1989477427">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78C175C6-B0F4-401D-9765-ECEE2FA7A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terms/"/>
    <ds:schemaRef ds:uri="b301dc1f-765b-48ad-b892-df54f4ee939f"/>
    <ds:schemaRef ds:uri="http://purl.org/dc/dcmitype/"/>
    <ds:schemaRef ds:uri="b5a44311-ed64-4a72-909f-c9dc6973bde2"/>
    <ds:schemaRef ds:uri="0f673578-062f-42cf-8580-49b16be5d89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Muddasar S Ahmed</cp:lastModifiedBy>
  <cp:revision>2</cp:revision>
  <dcterms:created xsi:type="dcterms:W3CDTF">2023-07-20T20:06:00Z</dcterms:created>
  <dcterms:modified xsi:type="dcterms:W3CDTF">2023-07-20T20:06:00Z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