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39C0" w14:textId="1651907A" w:rsidR="00B43006" w:rsidRPr="00AE261C" w:rsidRDefault="002B6F8E">
      <w:pPr>
        <w:rPr>
          <w:b/>
          <w:bCs/>
        </w:rPr>
      </w:pPr>
      <w:r w:rsidRPr="00AE261C">
        <w:rPr>
          <w:b/>
          <w:bCs/>
        </w:rPr>
        <w:t>Name</w:t>
      </w:r>
      <w:r w:rsidR="000A7C2A">
        <w:rPr>
          <w:b/>
          <w:bCs/>
        </w:rPr>
        <w:t xml:space="preserve">: </w:t>
      </w:r>
      <w:r w:rsidR="003C4B83" w:rsidRPr="003C4B83">
        <w:t>Alcohol Outlet Density</w:t>
      </w:r>
    </w:p>
    <w:p w14:paraId="2A5BA954" w14:textId="197BD402" w:rsidR="002B6F8E" w:rsidRDefault="002B6F8E"/>
    <w:p w14:paraId="73D1FF73" w14:textId="027E6B4B" w:rsidR="002B6F8E" w:rsidRDefault="002B6F8E">
      <w:r w:rsidRPr="00AE261C">
        <w:rPr>
          <w:b/>
          <w:bCs/>
        </w:rPr>
        <w:t>Short Description</w:t>
      </w:r>
      <w:r w:rsidR="00243820">
        <w:t xml:space="preserve">: </w:t>
      </w:r>
      <w:r w:rsidR="00CA6B62">
        <w:t xml:space="preserve">The number of </w:t>
      </w:r>
      <w:r w:rsidR="00307D11">
        <w:t>off</w:t>
      </w:r>
      <w:r w:rsidR="00CF0E04">
        <w:t>-</w:t>
      </w:r>
      <w:proofErr w:type="gramStart"/>
      <w:r w:rsidR="00307D11">
        <w:t>premise</w:t>
      </w:r>
      <w:proofErr w:type="gramEnd"/>
      <w:r w:rsidR="00307D11">
        <w:t xml:space="preserve"> </w:t>
      </w:r>
      <w:r w:rsidR="00600A08">
        <w:t>(</w:t>
      </w:r>
      <w:r w:rsidR="00183542">
        <w:t xml:space="preserve">purchases intended to be consumed off-site) </w:t>
      </w:r>
      <w:r w:rsidR="00CA6B62">
        <w:t>b</w:t>
      </w:r>
      <w:r w:rsidR="00CA6B62" w:rsidRPr="00CA6B62">
        <w:t>eer, wine, and liquor stores per 1</w:t>
      </w:r>
      <w:r w:rsidR="002C03EA">
        <w:t>0</w:t>
      </w:r>
      <w:r w:rsidR="00CA6B62" w:rsidRPr="00CA6B62">
        <w:t>,000 people</w:t>
      </w:r>
      <w:r w:rsidR="006505A9">
        <w:t>.</w:t>
      </w:r>
    </w:p>
    <w:p w14:paraId="285F7F9C" w14:textId="72AF4EE6" w:rsidR="002B6F8E" w:rsidRDefault="002B6F8E"/>
    <w:p w14:paraId="4A72B57B" w14:textId="20CF5D3D" w:rsidR="002B6F8E" w:rsidRDefault="00C63158">
      <w:pPr>
        <w:rPr>
          <w:b/>
          <w:bCs/>
        </w:rPr>
      </w:pPr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Source:</w:t>
      </w:r>
    </w:p>
    <w:p w14:paraId="7C3A5475" w14:textId="0DB4526A" w:rsidR="00433CEA" w:rsidRDefault="0079125B" w:rsidP="0007682E">
      <w:pPr>
        <w:pStyle w:val="ListParagraph"/>
        <w:numPr>
          <w:ilvl w:val="0"/>
          <w:numId w:val="10"/>
        </w:numPr>
      </w:pPr>
      <w:r w:rsidRPr="0079125B">
        <w:rPr>
          <w:u w:val="single"/>
        </w:rPr>
        <w:t>Name</w:t>
      </w:r>
      <w:r>
        <w:t xml:space="preserve">: </w:t>
      </w:r>
      <w:r w:rsidR="006505A9" w:rsidRPr="0007682E">
        <w:t>United</w:t>
      </w:r>
      <w:r w:rsidR="006505A9">
        <w:t xml:space="preserve"> States Census Bureau, </w:t>
      </w:r>
      <w:r w:rsidR="00827788" w:rsidRPr="00827788">
        <w:t xml:space="preserve">County Business Patterns (CBP) </w:t>
      </w:r>
    </w:p>
    <w:p w14:paraId="71E84B96" w14:textId="5E32502C" w:rsidR="006505A9" w:rsidRPr="00433CEA" w:rsidRDefault="0079125B" w:rsidP="0007682E">
      <w:pPr>
        <w:pStyle w:val="ListParagraph"/>
        <w:numPr>
          <w:ilvl w:val="0"/>
          <w:numId w:val="10"/>
        </w:numPr>
      </w:pPr>
      <w:r>
        <w:rPr>
          <w:u w:val="single"/>
        </w:rPr>
        <w:t>Link to Source</w:t>
      </w:r>
      <w:r>
        <w:t xml:space="preserve">: </w:t>
      </w:r>
      <w:hyperlink r:id="rId11" w:history="1">
        <w:r w:rsidR="006505A9">
          <w:rPr>
            <w:rStyle w:val="Hyperlink"/>
          </w:rPr>
          <w:t>County Business Patterns: 2018 (census.gov)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3D84CF9F" w:rsidR="002B6F8E" w:rsidRPr="00C63158" w:rsidRDefault="002B6F8E">
      <w:r>
        <w:rPr>
          <w:b/>
          <w:bCs/>
        </w:rPr>
        <w:t>Year:</w:t>
      </w:r>
      <w:r w:rsidR="00C63158">
        <w:rPr>
          <w:b/>
          <w:bCs/>
        </w:rPr>
        <w:t xml:space="preserve"> </w:t>
      </w:r>
      <w:r w:rsidR="00F3316E">
        <w:t>2019</w:t>
      </w:r>
    </w:p>
    <w:p w14:paraId="169D6C46" w14:textId="2812697E" w:rsidR="002B6F8E" w:rsidRDefault="002B6F8E"/>
    <w:p w14:paraId="6565C975" w14:textId="46E52F6A" w:rsidR="00C63158" w:rsidRPr="00C63158" w:rsidRDefault="00E82292">
      <w:r>
        <w:rPr>
          <w:b/>
          <w:bCs/>
        </w:rPr>
        <w:t xml:space="preserve">Source </w:t>
      </w:r>
      <w:r w:rsidR="00C63158" w:rsidRPr="5D6977D2">
        <w:rPr>
          <w:b/>
          <w:bCs/>
        </w:rPr>
        <w:t>Geographic Level</w:t>
      </w:r>
      <w:r w:rsidR="00C63158">
        <w:t>:</w:t>
      </w:r>
      <w:r w:rsidR="00C76E97">
        <w:t xml:space="preserve"> </w:t>
      </w:r>
      <w:r w:rsidR="00E04DEA">
        <w:t>ZIP Code</w:t>
      </w:r>
    </w:p>
    <w:p w14:paraId="17DDA767" w14:textId="77777777" w:rsidR="00C63158" w:rsidRPr="00C63158" w:rsidRDefault="00C63158">
      <w:pPr>
        <w:rPr>
          <w:b/>
          <w:bCs/>
        </w:rPr>
      </w:pPr>
    </w:p>
    <w:p w14:paraId="5DC54832" w14:textId="7E818FC6" w:rsidR="003D1192" w:rsidRPr="003D1192" w:rsidRDefault="003D1192">
      <w:r w:rsidRPr="5D6977D2">
        <w:rPr>
          <w:b/>
          <w:bCs/>
        </w:rPr>
        <w:t>Stratifi</w:t>
      </w:r>
      <w:r w:rsidR="00E15AF4">
        <w:rPr>
          <w:b/>
          <w:bCs/>
        </w:rPr>
        <w:t>cation</w:t>
      </w:r>
      <w:r w:rsidRPr="5D6977D2">
        <w:rPr>
          <w:b/>
          <w:bCs/>
        </w:rPr>
        <w:t xml:space="preserve">: </w:t>
      </w:r>
      <w:r w:rsidR="00D15081">
        <w:t>Not applicable to alcohol outlets.</w:t>
      </w:r>
    </w:p>
    <w:p w14:paraId="6505FA47" w14:textId="214D5089" w:rsidR="0070276E" w:rsidRDefault="0070276E"/>
    <w:p w14:paraId="1CF7D935" w14:textId="0A1ECB4A" w:rsidR="00A365E1" w:rsidRPr="00237478" w:rsidRDefault="004E3388">
      <w:r w:rsidRPr="00237478">
        <w:rPr>
          <w:b/>
          <w:bCs/>
        </w:rPr>
        <w:t>Selection Rationale:</w:t>
      </w:r>
      <w:r w:rsidR="00E74BB5" w:rsidRPr="00237478">
        <w:rPr>
          <w:b/>
          <w:bCs/>
        </w:rPr>
        <w:t xml:space="preserve"> </w:t>
      </w:r>
      <w:r w:rsidR="00237478" w:rsidRPr="00237478">
        <w:t xml:space="preserve">Alcohol outlet density contributes to </w:t>
      </w:r>
      <w:r w:rsidR="00890D81" w:rsidRPr="00237478">
        <w:t>capturing built</w:t>
      </w:r>
      <w:r w:rsidR="00237478" w:rsidRPr="00237478">
        <w:t xml:space="preserve"> environment impacts on mental well</w:t>
      </w:r>
      <w:r w:rsidR="004B6CE2">
        <w:t>ness</w:t>
      </w:r>
      <w:proofErr w:type="gramStart"/>
      <w:r w:rsidR="0040604D">
        <w:t xml:space="preserve">.  </w:t>
      </w:r>
      <w:proofErr w:type="gramEnd"/>
      <w:r w:rsidR="0040604D">
        <w:t>Alcohol outle</w:t>
      </w:r>
      <w:r w:rsidR="00F943D4">
        <w:t>ts have been found to be overconcentrated in low income and racial and ethnic minority neighborhoods</w:t>
      </w:r>
      <w:r w:rsidR="00E04A52">
        <w:t xml:space="preserve">, reflecting </w:t>
      </w:r>
      <w:r w:rsidR="00237478" w:rsidRPr="00237478">
        <w:t>the impacts of structural racism.</w:t>
      </w:r>
      <w:r w:rsidR="003647D5">
        <w:t xml:space="preserve"> </w:t>
      </w:r>
    </w:p>
    <w:p w14:paraId="6F70ADF0" w14:textId="77777777" w:rsidR="00237478" w:rsidRPr="00237478" w:rsidRDefault="00237478">
      <w:pPr>
        <w:rPr>
          <w:b/>
          <w:bCs/>
        </w:rPr>
      </w:pPr>
    </w:p>
    <w:p w14:paraId="4FAB762D" w14:textId="1DE13EEF" w:rsidR="004E05EF" w:rsidRDefault="004E05EF">
      <w:pPr>
        <w:rPr>
          <w:b/>
          <w:bCs/>
        </w:rPr>
      </w:pPr>
      <w:r>
        <w:rPr>
          <w:b/>
          <w:bCs/>
        </w:rPr>
        <w:t>Strengths and Limitations</w:t>
      </w:r>
    </w:p>
    <w:p w14:paraId="60F6F469" w14:textId="3652C148" w:rsidR="004E05EF" w:rsidRPr="0007682E" w:rsidRDefault="004E05EF" w:rsidP="0007682E">
      <w:pPr>
        <w:pStyle w:val="ListParagraph"/>
        <w:numPr>
          <w:ilvl w:val="0"/>
          <w:numId w:val="11"/>
        </w:numPr>
        <w:rPr>
          <w:b/>
          <w:bCs/>
        </w:rPr>
      </w:pPr>
      <w:r w:rsidRPr="0007682E">
        <w:rPr>
          <w:b/>
          <w:bCs/>
        </w:rPr>
        <w:t>Strengths:</w:t>
      </w:r>
    </w:p>
    <w:p w14:paraId="530598CF" w14:textId="707FE241" w:rsidR="009F6F82" w:rsidRPr="0007682E" w:rsidRDefault="004E05EF" w:rsidP="007A66F8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 w:rsidRPr="00014A4C">
        <w:rPr>
          <w:i/>
        </w:rPr>
        <w:t>[</w:t>
      </w:r>
      <w:r w:rsidR="00B970E5" w:rsidRPr="00014A4C">
        <w:rPr>
          <w:i/>
        </w:rPr>
        <w:t>Importance</w:t>
      </w:r>
      <w:r w:rsidRPr="00014A4C">
        <w:rPr>
          <w:i/>
        </w:rPr>
        <w:t>]</w:t>
      </w:r>
      <w:r w:rsidR="00B970E5" w:rsidRPr="00014A4C">
        <w:rPr>
          <w:i/>
        </w:rPr>
        <w:t xml:space="preserve"> </w:t>
      </w:r>
      <w:r w:rsidR="001C6F2E">
        <w:t>E</w:t>
      </w:r>
      <w:r w:rsidR="00A705C9">
        <w:t xml:space="preserve">xposure to alcohol and liquor </w:t>
      </w:r>
      <w:r w:rsidR="001901D4">
        <w:t xml:space="preserve">outlets and </w:t>
      </w:r>
      <w:r w:rsidR="00A705C9">
        <w:t>advertising</w:t>
      </w:r>
      <w:r w:rsidR="54004868">
        <w:t xml:space="preserve"> </w:t>
      </w:r>
      <w:r w:rsidR="00BD0518">
        <w:t xml:space="preserve">has </w:t>
      </w:r>
      <w:r w:rsidR="54004868">
        <w:t xml:space="preserve">been </w:t>
      </w:r>
      <w:r w:rsidR="00BA3650">
        <w:t xml:space="preserve">found to be </w:t>
      </w:r>
      <w:r w:rsidR="54004868">
        <w:t>c</w:t>
      </w:r>
      <w:r w:rsidR="00A705C9">
        <w:t xml:space="preserve">oncentrated in low income and </w:t>
      </w:r>
      <w:r w:rsidR="00F875C1">
        <w:t>racial/ethnic minority communities</w:t>
      </w:r>
      <w:r w:rsidR="007B5CCD" w:rsidRPr="4074A549">
        <w:rPr>
          <w:rStyle w:val="FootnoteReference"/>
        </w:rPr>
        <w:footnoteReference w:id="2"/>
      </w:r>
      <w:r w:rsidR="00E959F8">
        <w:t xml:space="preserve"> and </w:t>
      </w:r>
      <w:r w:rsidR="00C92BD2">
        <w:t xml:space="preserve">higher alcohol outlet density </w:t>
      </w:r>
      <w:r w:rsidR="0042241C">
        <w:t>has also been found to be associated with more highly segregated communities</w:t>
      </w:r>
      <w:r w:rsidR="0042241C" w:rsidRPr="4074A549">
        <w:rPr>
          <w:rStyle w:val="FootnoteReference"/>
        </w:rPr>
        <w:footnoteReference w:id="3"/>
      </w:r>
      <w:r w:rsidR="0042241C">
        <w:t xml:space="preserve">. </w:t>
      </w:r>
      <w:r w:rsidR="000257F3">
        <w:t>Additionally, research on alcohol outlets has found an association between higher alcohol outlet density and adverse mental health outcomes</w:t>
      </w:r>
      <w:r w:rsidR="00963D1E">
        <w:t>.</w:t>
      </w:r>
      <w:r w:rsidR="000257F3">
        <w:rPr>
          <w:rStyle w:val="FootnoteReference"/>
        </w:rPr>
        <w:footnoteReference w:id="4"/>
      </w:r>
      <w:r w:rsidR="000257F3">
        <w:rPr>
          <w:vertAlign w:val="superscript"/>
        </w:rPr>
        <w:t xml:space="preserve">, </w:t>
      </w:r>
      <w:r w:rsidR="000257F3">
        <w:rPr>
          <w:rStyle w:val="FootnoteReference"/>
        </w:rPr>
        <w:footnoteReference w:id="5"/>
      </w:r>
      <w:r w:rsidR="000257F3">
        <w:t xml:space="preserve"> </w:t>
      </w:r>
    </w:p>
    <w:p w14:paraId="245EEFA5" w14:textId="7C347F81" w:rsidR="00A85CF9" w:rsidRDefault="00A85CF9" w:rsidP="0007682E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>
        <w:rPr>
          <w:i/>
          <w:iCs/>
        </w:rPr>
        <w:t>[Equity]</w:t>
      </w:r>
      <w:r>
        <w:t xml:space="preserve"> </w:t>
      </w:r>
      <w:r w:rsidR="00D64213">
        <w:t>Historical discriminatory redlining practices have shown to increase present day exposure to retail alcohol availability, particularly in Black American and Latinx neighborhoods</w:t>
      </w:r>
      <w:r w:rsidR="00EB3694">
        <w:t>.</w:t>
      </w:r>
      <w:r w:rsidR="00D64213" w:rsidRPr="4074A549">
        <w:rPr>
          <w:rStyle w:val="FootnoteReference"/>
        </w:rPr>
        <w:footnoteReference w:id="6"/>
      </w:r>
      <w:r w:rsidR="00D64213">
        <w:t xml:space="preserve"> </w:t>
      </w:r>
      <w:r w:rsidR="002615F1">
        <w:t xml:space="preserve"> </w:t>
      </w:r>
      <w:r w:rsidR="003C7463">
        <w:t xml:space="preserve">Incorporation of this measure acknowledges the </w:t>
      </w:r>
      <w:r w:rsidR="007F4BB1">
        <w:lastRenderedPageBreak/>
        <w:t xml:space="preserve">disparate </w:t>
      </w:r>
      <w:r w:rsidR="003C7463">
        <w:t xml:space="preserve">burden </w:t>
      </w:r>
      <w:r w:rsidR="007F4BB1">
        <w:t xml:space="preserve">that overconcentration of alcohol outlets </w:t>
      </w:r>
      <w:r w:rsidR="00CE4DD9">
        <w:t xml:space="preserve">places </w:t>
      </w:r>
      <w:r w:rsidR="00B4213F">
        <w:t xml:space="preserve">on these neighborhoods. </w:t>
      </w:r>
    </w:p>
    <w:p w14:paraId="6929D122" w14:textId="050C729A" w:rsidR="009F6F82" w:rsidRPr="0007682E" w:rsidRDefault="004144B6" w:rsidP="0007682E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>
        <w:rPr>
          <w:i/>
          <w:iCs/>
        </w:rPr>
        <w:t xml:space="preserve">[Relevance and Usability] </w:t>
      </w:r>
      <w:r w:rsidR="003A2226">
        <w:t xml:space="preserve">Data </w:t>
      </w:r>
      <w:r w:rsidR="00DA5C33">
        <w:t xml:space="preserve">on </w:t>
      </w:r>
      <w:r w:rsidR="00F8715B">
        <w:t xml:space="preserve">alcohol outlet density </w:t>
      </w:r>
      <w:r w:rsidR="00F6570F">
        <w:t xml:space="preserve">can </w:t>
      </w:r>
      <w:r w:rsidR="003A2226">
        <w:t xml:space="preserve">inform </w:t>
      </w:r>
      <w:r w:rsidR="00F6570F">
        <w:t>intervention strateg</w:t>
      </w:r>
      <w:r w:rsidR="003A2226">
        <w:t>ies</w:t>
      </w:r>
      <w:r w:rsidR="00F6570F">
        <w:t xml:space="preserve"> for reducing excessive alcohol consumption and related harms. The Community Preventive Services Task Force recommends using regulatory authority like licensing and zoning to limit alcohol density.</w:t>
      </w:r>
      <w:r w:rsidR="00C13759">
        <w:rPr>
          <w:rStyle w:val="FootnoteReference"/>
        </w:rPr>
        <w:footnoteReference w:id="7"/>
      </w:r>
      <w:r w:rsidR="00F6570F">
        <w:t xml:space="preserve"> </w:t>
      </w:r>
      <w:r w:rsidR="00EB4B23">
        <w:t xml:space="preserve">The inclusion of this measure within our framework enables users to understand the role of the built environment </w:t>
      </w:r>
      <w:r w:rsidR="001B53EB">
        <w:t xml:space="preserve">and its impacts </w:t>
      </w:r>
      <w:r w:rsidR="003D244E">
        <w:t>on</w:t>
      </w:r>
      <w:r w:rsidR="0002654B">
        <w:t xml:space="preserve"> community mental wellness. </w:t>
      </w:r>
    </w:p>
    <w:p w14:paraId="7E3CCC82" w14:textId="019104B4" w:rsidR="009F6F82" w:rsidRPr="0007682E" w:rsidRDefault="00907D51" w:rsidP="0007682E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>
        <w:rPr>
          <w:i/>
          <w:iCs/>
        </w:rPr>
        <w:t>[Scientific Soundness]</w:t>
      </w:r>
      <w:r w:rsidR="008F2B72">
        <w:t xml:space="preserve"> </w:t>
      </w:r>
      <w:r w:rsidR="00CC6733">
        <w:t xml:space="preserve">This </w:t>
      </w:r>
      <w:r w:rsidR="008F2B72">
        <w:t>measure</w:t>
      </w:r>
      <w:r w:rsidR="00CC6733">
        <w:t xml:space="preserve"> of alcohol outlet density</w:t>
      </w:r>
      <w:r w:rsidR="008F2B72">
        <w:t xml:space="preserve"> follows the CDC Guid</w:t>
      </w:r>
      <w:r w:rsidR="009F6F82">
        <w:t>e</w:t>
      </w:r>
      <w:r w:rsidR="008F2B72">
        <w:t xml:space="preserve"> for </w:t>
      </w:r>
      <w:r w:rsidR="009F6F82">
        <w:t xml:space="preserve">Measuring Alcohol Outlet Density </w:t>
      </w:r>
      <w:r w:rsidR="00994FF8">
        <w:t xml:space="preserve">for </w:t>
      </w:r>
      <w:r w:rsidR="008F2B72">
        <w:t xml:space="preserve">container-based measures </w:t>
      </w:r>
      <w:r w:rsidR="00E80995">
        <w:t>with a population-based denominator.</w:t>
      </w:r>
      <w:r w:rsidR="009B7963">
        <w:rPr>
          <w:rStyle w:val="FootnoteReference"/>
        </w:rPr>
        <w:footnoteReference w:id="8"/>
      </w:r>
      <w:r w:rsidR="00E80995">
        <w:t xml:space="preserve"> </w:t>
      </w:r>
      <w:r w:rsidR="000C6195">
        <w:t xml:space="preserve">This measure calculation is advantageous </w:t>
      </w:r>
      <w:r w:rsidR="00CC6733">
        <w:t>because it</w:t>
      </w:r>
      <w:r w:rsidR="000C6195">
        <w:t xml:space="preserve"> is both simple to calculate and simple to communicate</w:t>
      </w:r>
      <w:r w:rsidR="007E229D">
        <w:t xml:space="preserve">. </w:t>
      </w:r>
    </w:p>
    <w:p w14:paraId="4BBE4509" w14:textId="2010C3FB" w:rsidR="00894C9F" w:rsidRDefault="00894C9F" w:rsidP="0007682E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>
        <w:rPr>
          <w:i/>
          <w:iCs/>
        </w:rPr>
        <w:t>[Feasibility]</w:t>
      </w:r>
      <w:r w:rsidR="00180DF7">
        <w:rPr>
          <w:i/>
          <w:iCs/>
        </w:rPr>
        <w:t xml:space="preserve"> </w:t>
      </w:r>
      <w:r w:rsidR="00180DF7">
        <w:t>CBP is an annual series</w:t>
      </w:r>
      <w:r w:rsidR="00F74976">
        <w:t xml:space="preserve"> and </w:t>
      </w:r>
      <w:r w:rsidR="0002654B">
        <w:t xml:space="preserve">has </w:t>
      </w:r>
      <w:r w:rsidR="00F74976">
        <w:t xml:space="preserve">included </w:t>
      </w:r>
      <w:r w:rsidR="008C003C">
        <w:t>ZIP Code Business Patterns data</w:t>
      </w:r>
      <w:r w:rsidR="00F74976">
        <w:t xml:space="preserve"> since 1986</w:t>
      </w:r>
      <w:r w:rsidR="008C003C">
        <w:t xml:space="preserve">. Full release of CBP statistics </w:t>
      </w:r>
      <w:r w:rsidR="0002654B">
        <w:t>is</w:t>
      </w:r>
      <w:r w:rsidR="008C003C">
        <w:t xml:space="preserve"> available approximately 16 months after each reference year. </w:t>
      </w:r>
      <w:r w:rsidR="006A4630">
        <w:t>CBP data is easily accessible for download.</w:t>
      </w:r>
    </w:p>
    <w:p w14:paraId="20DFFBAB" w14:textId="77777777" w:rsidR="00894C9F" w:rsidRDefault="00894C9F" w:rsidP="00894C9F">
      <w:pPr>
        <w:rPr>
          <w:i/>
          <w:iCs/>
        </w:rPr>
      </w:pPr>
    </w:p>
    <w:p w14:paraId="260877C8" w14:textId="3D7DA5E3" w:rsidR="00894C9F" w:rsidRPr="00FD3EC7" w:rsidRDefault="00894C9F" w:rsidP="00FD3EC7">
      <w:pPr>
        <w:pStyle w:val="ListParagraph"/>
        <w:numPr>
          <w:ilvl w:val="0"/>
          <w:numId w:val="11"/>
        </w:numPr>
        <w:rPr>
          <w:b/>
          <w:bCs/>
        </w:rPr>
      </w:pPr>
      <w:r w:rsidRPr="00FD3EC7">
        <w:rPr>
          <w:b/>
          <w:bCs/>
        </w:rPr>
        <w:t xml:space="preserve">Limitations: </w:t>
      </w:r>
    </w:p>
    <w:p w14:paraId="4A95F400" w14:textId="4417D640" w:rsidR="00691881" w:rsidRPr="00E360C8" w:rsidRDefault="002506EB" w:rsidP="11014153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 w:rsidRPr="11014153">
        <w:rPr>
          <w:i/>
          <w:iCs/>
        </w:rPr>
        <w:t>[Relevance and Usability</w:t>
      </w:r>
      <w:r w:rsidR="00013176" w:rsidRPr="11014153">
        <w:rPr>
          <w:i/>
          <w:iCs/>
        </w:rPr>
        <w:t xml:space="preserve">] </w:t>
      </w:r>
      <w:r w:rsidR="007E229D">
        <w:t>The CBP</w:t>
      </w:r>
      <w:r w:rsidR="007E17AB">
        <w:t xml:space="preserve"> </w:t>
      </w:r>
      <w:r w:rsidR="007E229D">
        <w:t>suppresses data</w:t>
      </w:r>
      <w:r w:rsidR="007E17AB">
        <w:t xml:space="preserve"> for ZIP Code</w:t>
      </w:r>
      <w:r w:rsidR="003D244E">
        <w:t>s</w:t>
      </w:r>
      <w:r w:rsidR="007E17AB">
        <w:t xml:space="preserve"> with fewer than 3 establishments</w:t>
      </w:r>
      <w:r w:rsidR="007E229D">
        <w:t xml:space="preserve">. </w:t>
      </w:r>
      <w:r w:rsidR="697D48E5">
        <w:t>As a result</w:t>
      </w:r>
      <w:r>
        <w:t xml:space="preserve">, </w:t>
      </w:r>
      <w:r w:rsidR="59BAC4AF">
        <w:t xml:space="preserve">ZIP </w:t>
      </w:r>
      <w:r w:rsidR="548D25B7">
        <w:t>C</w:t>
      </w:r>
      <w:r w:rsidR="7B6647AA">
        <w:t>odes</w:t>
      </w:r>
      <w:r w:rsidR="59BAC4AF">
        <w:t xml:space="preserve"> with between 0 to 2 alcohol outlets cannot be distinguished from each other and all are assigned </w:t>
      </w:r>
      <w:r w:rsidR="007F2B7D">
        <w:t xml:space="preserve">a density value of </w:t>
      </w:r>
      <w:r w:rsidR="59BAC4AF">
        <w:t xml:space="preserve">zero. </w:t>
      </w:r>
      <w:r w:rsidR="31315225">
        <w:t>As a result</w:t>
      </w:r>
      <w:r w:rsidR="448ACC7A">
        <w:t xml:space="preserve">, this measure will </w:t>
      </w:r>
      <w:r w:rsidR="29B84D7A">
        <w:t xml:space="preserve">primarily capture </w:t>
      </w:r>
      <w:r w:rsidR="543E713D">
        <w:t>variation in alcohol outlet density for high</w:t>
      </w:r>
      <w:r w:rsidR="0AE56F0E">
        <w:t>er</w:t>
      </w:r>
      <w:r w:rsidR="543E713D">
        <w:t xml:space="preserve"> </w:t>
      </w:r>
      <w:r w:rsidR="35E50F26">
        <w:t>exposure</w:t>
      </w:r>
      <w:r w:rsidR="543E713D">
        <w:t xml:space="preserve"> areas.</w:t>
      </w:r>
      <w:r w:rsidR="00E3049D">
        <w:t xml:space="preserve"> Additionally, </w:t>
      </w:r>
      <w:r w:rsidR="009C0882">
        <w:t xml:space="preserve">we note that </w:t>
      </w:r>
      <w:r w:rsidR="003F213D">
        <w:t>some</w:t>
      </w:r>
      <w:r w:rsidR="00E3049D">
        <w:t xml:space="preserve"> </w:t>
      </w:r>
      <w:r w:rsidR="00BF0566">
        <w:t>studies</w:t>
      </w:r>
    </w:p>
    <w:p w14:paraId="1F305FDB" w14:textId="5698A258" w:rsidR="00894C9F" w:rsidRPr="00FD3EC7" w:rsidDel="001F7D73" w:rsidRDefault="00E3049D" w:rsidP="00E360C8">
      <w:pPr>
        <w:pStyle w:val="ListParagraph"/>
        <w:ind w:left="1440"/>
        <w:rPr>
          <w:i/>
          <w:iCs/>
        </w:rPr>
      </w:pPr>
      <w:r>
        <w:t xml:space="preserve">call for further research on the </w:t>
      </w:r>
      <w:r w:rsidR="004D06D2">
        <w:t>relationship between alcohol outlet density and al</w:t>
      </w:r>
      <w:r>
        <w:t>cohol use and harm</w:t>
      </w:r>
      <w:r w:rsidR="000A4A07" w:rsidRPr="000A4A07">
        <w:rPr>
          <w:rStyle w:val="FootnoteReference"/>
        </w:rPr>
        <w:t xml:space="preserve"> </w:t>
      </w:r>
      <w:r w:rsidR="000A4A07">
        <w:rPr>
          <w:rStyle w:val="FootnoteReference"/>
        </w:rPr>
        <w:footnoteReference w:id="9"/>
      </w:r>
      <w:r w:rsidR="006B364C">
        <w:t>,</w:t>
      </w:r>
      <w:r w:rsidR="00B26520">
        <w:t xml:space="preserve"> and </w:t>
      </w:r>
      <w:r w:rsidR="006B364C">
        <w:t>others have</w:t>
      </w:r>
      <w:r w:rsidR="00B26520">
        <w:t xml:space="preserve"> found that </w:t>
      </w:r>
      <w:r w:rsidR="009062A7">
        <w:t>individuals</w:t>
      </w:r>
      <w:r w:rsidR="00997FA8">
        <w:t xml:space="preserve"> in areas of high alcohol outlet density </w:t>
      </w:r>
      <w:r w:rsidR="000A4A07">
        <w:t xml:space="preserve">in particular communities </w:t>
      </w:r>
      <w:proofErr w:type="gramStart"/>
      <w:r w:rsidR="00EC2DCF">
        <w:t>actually drank</w:t>
      </w:r>
      <w:proofErr w:type="gramEnd"/>
      <w:r w:rsidR="00EC2DCF">
        <w:t xml:space="preserve"> less frequently</w:t>
      </w:r>
      <w:r w:rsidR="006D060A">
        <w:t xml:space="preserve"> and t</w:t>
      </w:r>
      <w:r w:rsidR="002E5B1B">
        <w:t>hat it may be important to consider the intersection of income and alcohol outlet density</w:t>
      </w:r>
      <w:r w:rsidR="00B52353">
        <w:t>.</w:t>
      </w:r>
      <w:r w:rsidR="00066DC4">
        <w:rPr>
          <w:rStyle w:val="FootnoteReference"/>
        </w:rPr>
        <w:footnoteReference w:id="10"/>
      </w:r>
      <w:r>
        <w:t xml:space="preserve"> </w:t>
      </w:r>
    </w:p>
    <w:p w14:paraId="7CF534E1" w14:textId="5B428E65" w:rsidR="00894C9F" w:rsidRPr="00894C9F" w:rsidRDefault="009A1FED" w:rsidP="00E360C8">
      <w:pPr>
        <w:pStyle w:val="ListParagraph"/>
        <w:numPr>
          <w:ilvl w:val="0"/>
          <w:numId w:val="9"/>
        </w:numPr>
        <w:ind w:left="1440"/>
      </w:pPr>
      <w:r w:rsidRPr="11014153">
        <w:rPr>
          <w:i/>
          <w:iCs/>
        </w:rPr>
        <w:t xml:space="preserve">[Scientific Soundness] </w:t>
      </w:r>
      <w:r>
        <w:t xml:space="preserve">Container-based methods are unable to detect </w:t>
      </w:r>
      <w:r w:rsidR="1A10435F">
        <w:t xml:space="preserve">high-density </w:t>
      </w:r>
      <w:r w:rsidR="56C0C4CE">
        <w:t>clustering</w:t>
      </w:r>
      <w:r w:rsidR="40CF3322">
        <w:t xml:space="preserve"> of outlets within a </w:t>
      </w:r>
      <w:r w:rsidR="4CDB007D">
        <w:t>ZIP Code</w:t>
      </w:r>
      <w:r w:rsidR="0A7D3828">
        <w:t xml:space="preserve">, nor can they </w:t>
      </w:r>
      <w:r w:rsidR="212D6FE9">
        <w:t>acc</w:t>
      </w:r>
      <w:r w:rsidR="27D3300C">
        <w:t>ount for the size of the directly exposed population or effects from neighboring ZIP Codes</w:t>
      </w:r>
      <w:r w:rsidR="653C79F8">
        <w:t>.</w:t>
      </w:r>
      <w:r w:rsidR="7F26B05B">
        <w:t xml:space="preserve"> </w:t>
      </w:r>
      <w:r w:rsidR="068000E5">
        <w:t xml:space="preserve">Nevertheless, given that the primary function of the tool is to delineate </w:t>
      </w:r>
      <w:r w:rsidR="2E77C77B">
        <w:t xml:space="preserve">variations in </w:t>
      </w:r>
      <w:r w:rsidR="068000E5">
        <w:t>population-level exposure</w:t>
      </w:r>
      <w:r w:rsidR="59645580">
        <w:t>,</w:t>
      </w:r>
      <w:r w:rsidR="068000E5">
        <w:t xml:space="preserve"> this </w:t>
      </w:r>
      <w:r w:rsidR="667B0703">
        <w:t>method provides a</w:t>
      </w:r>
      <w:r w:rsidR="1CD747D6">
        <w:t xml:space="preserve"> </w:t>
      </w:r>
      <w:r w:rsidR="197869B5">
        <w:t>sufficient</w:t>
      </w:r>
      <w:r w:rsidR="4BB9832D">
        <w:t xml:space="preserve"> estimate at the </w:t>
      </w:r>
      <w:r w:rsidR="16DBE8A9">
        <w:t>n</w:t>
      </w:r>
      <w:r w:rsidR="20D891FC">
        <w:t>e</w:t>
      </w:r>
      <w:r w:rsidR="78DC71DA">
        <w:t>ighborhood</w:t>
      </w:r>
      <w:r w:rsidR="71FBA2ED">
        <w:t xml:space="preserve"> level.</w:t>
      </w:r>
    </w:p>
    <w:p w14:paraId="00DFE906" w14:textId="77777777" w:rsidR="000666B0" w:rsidRDefault="000666B0" w:rsidP="00A16408"/>
    <w:p w14:paraId="7305B90C" w14:textId="568A867D" w:rsidR="00A16408" w:rsidRDefault="008E13DF" w:rsidP="00A16408">
      <w:r>
        <w:rPr>
          <w:b/>
          <w:bCs/>
        </w:rPr>
        <w:t xml:space="preserve">Default </w:t>
      </w:r>
      <w:r w:rsidR="00EC670E" w:rsidRPr="00EC670E">
        <w:rPr>
          <w:b/>
          <w:bCs/>
        </w:rPr>
        <w:t>Weight</w:t>
      </w:r>
      <w:r w:rsidR="001F7D73" w:rsidRPr="0007682E">
        <w:rPr>
          <w:b/>
          <w:bCs/>
        </w:rPr>
        <w:t>:</w:t>
      </w:r>
      <w:r w:rsidR="00EC670E">
        <w:rPr>
          <w:b/>
          <w:bCs/>
        </w:rPr>
        <w:t xml:space="preserve"> </w:t>
      </w:r>
      <w:r w:rsidR="001C7725" w:rsidRPr="005D6FFF">
        <w:t>4.3</w:t>
      </w:r>
      <w:r w:rsidR="001C7725">
        <w:t xml:space="preserve">% </w:t>
      </w:r>
      <w:r w:rsidR="001C7725" w:rsidRPr="00480C8D">
        <w:rPr>
          <w:sz w:val="20"/>
          <w:szCs w:val="20"/>
        </w:rPr>
        <w:t>(</w:t>
      </w:r>
      <w:r w:rsidR="001C7725" w:rsidRPr="00480C8D">
        <w:rPr>
          <w:i/>
          <w:iCs/>
          <w:sz w:val="20"/>
          <w:szCs w:val="20"/>
        </w:rPr>
        <w:t>see Weighting Documentation for details on how default weights were assigned</w:t>
      </w:r>
      <w:r w:rsidR="001C7725" w:rsidRPr="00480C8D">
        <w:rPr>
          <w:sz w:val="20"/>
          <w:szCs w:val="20"/>
        </w:rPr>
        <w:t>)</w:t>
      </w:r>
    </w:p>
    <w:p w14:paraId="0E7EAC87" w14:textId="77777777" w:rsidR="00243820" w:rsidRPr="00EC670E" w:rsidRDefault="00243820" w:rsidP="00A16408"/>
    <w:p w14:paraId="6B603424" w14:textId="015F1899" w:rsidR="004451CC" w:rsidRDefault="00A16408" w:rsidP="4074A549">
      <w:pPr>
        <w:rPr>
          <w:b/>
          <w:bCs/>
        </w:rPr>
      </w:pPr>
      <w:r w:rsidRPr="4074A549">
        <w:rPr>
          <w:b/>
          <w:bCs/>
        </w:rPr>
        <w:t>Calculation</w:t>
      </w:r>
      <w:r w:rsidR="001F7D73">
        <w:rPr>
          <w:b/>
          <w:bCs/>
        </w:rPr>
        <w:t>:</w:t>
      </w:r>
    </w:p>
    <w:p w14:paraId="4C0A6867" w14:textId="0D29FCDB" w:rsidR="004451CC" w:rsidRPr="004451CC" w:rsidRDefault="004451CC" w:rsidP="4074A549"/>
    <w:p w14:paraId="0F6C651D" w14:textId="79E43B5D" w:rsidR="7F967283" w:rsidRDefault="373760A4" w:rsidP="4074A549">
      <w:r>
        <w:t xml:space="preserve">Alcohol </w:t>
      </w:r>
      <w:r w:rsidR="00555E5D">
        <w:t>o</w:t>
      </w:r>
      <w:r>
        <w:t xml:space="preserve">utlets are defined using the </w:t>
      </w:r>
      <w:r w:rsidR="7F967283">
        <w:t>North American Industry Classification system (</w:t>
      </w:r>
      <w:r w:rsidR="0F102F9A">
        <w:t>NAICS</w:t>
      </w:r>
      <w:r w:rsidR="7D7AA2CB">
        <w:t>)</w:t>
      </w:r>
      <w:r w:rsidR="0F102F9A">
        <w:t xml:space="preserve"> Industry </w:t>
      </w:r>
      <w:r w:rsidR="60017E49">
        <w:t xml:space="preserve">Code </w:t>
      </w:r>
      <w:r w:rsidR="1EFDC6DE">
        <w:t xml:space="preserve">445310 </w:t>
      </w:r>
      <w:r w:rsidR="2464AC04">
        <w:t>for</w:t>
      </w:r>
      <w:r w:rsidR="1EFDC6DE">
        <w:t xml:space="preserve"> “Beer, Wine, and Liquor Stores”</w:t>
      </w:r>
    </w:p>
    <w:p w14:paraId="43C64CA2" w14:textId="2976B859" w:rsidR="00E701B0" w:rsidRDefault="00E701B0" w:rsidP="4074A549"/>
    <w:p w14:paraId="4A8AEB79" w14:textId="3BBD2F3C" w:rsidR="00E701B0" w:rsidRPr="00235A53" w:rsidRDefault="00E701B0" w:rsidP="4074A54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Alcohol Outlet Density=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 xml:space="preserve"># off premise beer, wine, and liquor store establishments 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 xml:space="preserve">total population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x 10,000 people</m:t>
          </m:r>
        </m:oMath>
      </m:oMathPara>
    </w:p>
    <w:p w14:paraId="160A8FED" w14:textId="77777777" w:rsidR="004451CC" w:rsidRDefault="004451CC" w:rsidP="4074A549"/>
    <w:p w14:paraId="4C1CEC3C" w14:textId="1149EFDB" w:rsidR="0043612D" w:rsidRPr="00E04DEA" w:rsidRDefault="0043612D" w:rsidP="00E04DEA">
      <w:pPr>
        <w:rPr>
          <w:b/>
          <w:bCs/>
        </w:rPr>
      </w:pPr>
    </w:p>
    <w:p w14:paraId="1E9FAF92" w14:textId="77777777" w:rsidR="00A16408" w:rsidRDefault="00A16408" w:rsidP="00A16408">
      <w:pPr>
        <w:rPr>
          <w:b/>
          <w:bCs/>
        </w:rPr>
      </w:pPr>
    </w:p>
    <w:p w14:paraId="313CE478" w14:textId="790EDA3B" w:rsidR="00A16408" w:rsidRPr="00A16408" w:rsidRDefault="00A16408" w:rsidP="00A16408">
      <w:pPr>
        <w:rPr>
          <w:b/>
          <w:bCs/>
        </w:rPr>
      </w:pPr>
    </w:p>
    <w:sectPr w:rsidR="00A16408" w:rsidRP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9D91" w14:textId="77777777" w:rsidR="0091089F" w:rsidRDefault="0091089F">
      <w:r>
        <w:separator/>
      </w:r>
    </w:p>
  </w:endnote>
  <w:endnote w:type="continuationSeparator" w:id="0">
    <w:p w14:paraId="0A049B54" w14:textId="77777777" w:rsidR="0091089F" w:rsidRDefault="0091089F">
      <w:r>
        <w:continuationSeparator/>
      </w:r>
    </w:p>
  </w:endnote>
  <w:endnote w:type="continuationNotice" w:id="1">
    <w:p w14:paraId="202D9874" w14:textId="77777777" w:rsidR="0091089F" w:rsidRDefault="00910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3148" w14:textId="77777777" w:rsidR="0091089F" w:rsidRDefault="0091089F">
      <w:r>
        <w:separator/>
      </w:r>
    </w:p>
  </w:footnote>
  <w:footnote w:type="continuationSeparator" w:id="0">
    <w:p w14:paraId="312B4C8B" w14:textId="77777777" w:rsidR="0091089F" w:rsidRDefault="0091089F">
      <w:r>
        <w:continuationSeparator/>
      </w:r>
    </w:p>
  </w:footnote>
  <w:footnote w:type="continuationNotice" w:id="1">
    <w:p w14:paraId="37BE2B08" w14:textId="77777777" w:rsidR="0091089F" w:rsidRDefault="0091089F"/>
  </w:footnote>
  <w:footnote w:id="2">
    <w:p w14:paraId="1CC7D08B" w14:textId="439E1326" w:rsidR="4074A549" w:rsidRPr="000A0F23" w:rsidRDefault="4074A549" w:rsidP="004A1764">
      <w:pPr>
        <w:ind w:left="720" w:hanging="720"/>
        <w:rPr>
          <w:rFonts w:cstheme="minorHAnsi"/>
          <w:sz w:val="20"/>
          <w:szCs w:val="20"/>
        </w:rPr>
      </w:pPr>
      <w:r w:rsidRPr="00C43764">
        <w:rPr>
          <w:rStyle w:val="FootnoteReference"/>
          <w:sz w:val="20"/>
          <w:szCs w:val="20"/>
        </w:rPr>
        <w:footnoteRef/>
      </w:r>
      <w:r w:rsidRPr="00C43764">
        <w:rPr>
          <w:sz w:val="20"/>
          <w:szCs w:val="20"/>
        </w:rPr>
        <w:t xml:space="preserve"> </w:t>
      </w:r>
      <w:r w:rsidRPr="000A0F23">
        <w:rPr>
          <w:rFonts w:cstheme="minorHAnsi"/>
          <w:color w:val="222222"/>
          <w:sz w:val="20"/>
          <w:szCs w:val="20"/>
        </w:rPr>
        <w:t>Alaniz, M. L. (1998). Alcohol availability and targeted advertising in racial/ethnic minority comm</w:t>
      </w:r>
      <w:r w:rsidRPr="003B7121">
        <w:rPr>
          <w:rFonts w:cstheme="minorHAnsi"/>
          <w:color w:val="222222"/>
          <w:sz w:val="20"/>
          <w:szCs w:val="20"/>
        </w:rPr>
        <w:t>unities. </w:t>
      </w:r>
      <w:r w:rsidRPr="003B7121">
        <w:rPr>
          <w:rFonts w:cstheme="minorHAnsi"/>
          <w:i/>
          <w:iCs/>
          <w:color w:val="222222"/>
          <w:sz w:val="20"/>
          <w:szCs w:val="20"/>
        </w:rPr>
        <w:t>Alcohol Health and Research World</w:t>
      </w:r>
      <w:r w:rsidRPr="00FE1955">
        <w:rPr>
          <w:rFonts w:cstheme="minorHAnsi"/>
          <w:color w:val="222222"/>
          <w:sz w:val="20"/>
          <w:szCs w:val="20"/>
        </w:rPr>
        <w:t>, </w:t>
      </w:r>
      <w:r w:rsidRPr="00C43764">
        <w:rPr>
          <w:rFonts w:cstheme="minorHAnsi"/>
          <w:i/>
          <w:iCs/>
          <w:color w:val="222222"/>
          <w:sz w:val="20"/>
          <w:szCs w:val="20"/>
        </w:rPr>
        <w:t>22</w:t>
      </w:r>
      <w:r w:rsidRPr="00C43764">
        <w:rPr>
          <w:rFonts w:cstheme="minorHAnsi"/>
          <w:color w:val="222222"/>
          <w:sz w:val="20"/>
          <w:szCs w:val="20"/>
        </w:rPr>
        <w:t xml:space="preserve">(4), 286. </w:t>
      </w:r>
      <w:hyperlink r:id="rId1">
        <w:r w:rsidRPr="00C43764">
          <w:rPr>
            <w:rStyle w:val="Hyperlink"/>
            <w:rFonts w:cstheme="minorHAnsi"/>
            <w:sz w:val="20"/>
            <w:szCs w:val="20"/>
          </w:rPr>
          <w:t>https://www.ncbi.nlm.nih.gov/pmc/articles/PMC6761895/</w:t>
        </w:r>
      </w:hyperlink>
    </w:p>
  </w:footnote>
  <w:footnote w:id="3">
    <w:p w14:paraId="39813655" w14:textId="77777777" w:rsidR="0042241C" w:rsidRPr="00C43764" w:rsidRDefault="0042241C" w:rsidP="004A1764">
      <w:pPr>
        <w:ind w:left="720" w:hanging="720"/>
        <w:rPr>
          <w:sz w:val="20"/>
          <w:szCs w:val="20"/>
        </w:rPr>
      </w:pPr>
      <w:r w:rsidRPr="00360697">
        <w:rPr>
          <w:rStyle w:val="FootnoteReference"/>
          <w:sz w:val="20"/>
          <w:szCs w:val="20"/>
        </w:rPr>
        <w:footnoteRef/>
      </w:r>
      <w:r w:rsidRPr="00C43764">
        <w:rPr>
          <w:sz w:val="20"/>
          <w:szCs w:val="20"/>
        </w:rPr>
        <w:t xml:space="preserve"> </w:t>
      </w:r>
      <w:r w:rsidRPr="000A0F23">
        <w:rPr>
          <w:rFonts w:cstheme="minorHAnsi"/>
          <w:color w:val="222222"/>
          <w:sz w:val="20"/>
          <w:szCs w:val="20"/>
        </w:rPr>
        <w:t>Scott, J., Danos, D., Collins, R., Simonsen, N., Leonardi, C., Scribner, R., &amp; Herd,</w:t>
      </w:r>
      <w:r w:rsidRPr="003B7121">
        <w:rPr>
          <w:rFonts w:cstheme="minorHAnsi"/>
          <w:color w:val="222222"/>
          <w:sz w:val="20"/>
          <w:szCs w:val="20"/>
        </w:rPr>
        <w:t xml:space="preserve"> D. (2020). Structural racism in the built environment: Segregation and the overconcentration of alcohol outlets. </w:t>
      </w:r>
      <w:r w:rsidRPr="00C43764">
        <w:rPr>
          <w:rFonts w:cstheme="minorHAnsi"/>
          <w:i/>
          <w:iCs/>
          <w:color w:val="222222"/>
          <w:sz w:val="20"/>
          <w:szCs w:val="20"/>
        </w:rPr>
        <w:t>Health &amp; place</w:t>
      </w:r>
      <w:r w:rsidRPr="00C43764">
        <w:rPr>
          <w:rFonts w:cstheme="minorHAnsi"/>
          <w:color w:val="222222"/>
          <w:sz w:val="20"/>
          <w:szCs w:val="20"/>
        </w:rPr>
        <w:t>, </w:t>
      </w:r>
      <w:r w:rsidRPr="00C43764">
        <w:rPr>
          <w:rFonts w:cstheme="minorHAnsi"/>
          <w:i/>
          <w:iCs/>
          <w:color w:val="222222"/>
          <w:sz w:val="20"/>
          <w:szCs w:val="20"/>
        </w:rPr>
        <w:t>64</w:t>
      </w:r>
      <w:r w:rsidRPr="00C43764">
        <w:rPr>
          <w:rFonts w:cstheme="minorHAnsi"/>
          <w:color w:val="222222"/>
          <w:sz w:val="20"/>
          <w:szCs w:val="20"/>
        </w:rPr>
        <w:t xml:space="preserve">, 102385. </w:t>
      </w:r>
      <w:hyperlink r:id="rId2">
        <w:r w:rsidRPr="00C43764">
          <w:rPr>
            <w:rStyle w:val="Hyperlink"/>
            <w:rFonts w:cstheme="minorHAnsi"/>
            <w:sz w:val="20"/>
            <w:szCs w:val="20"/>
          </w:rPr>
          <w:t>https://www.sciencedirect.com/science/article/pii/S1353829219313917</w:t>
        </w:r>
      </w:hyperlink>
    </w:p>
  </w:footnote>
  <w:footnote w:id="4">
    <w:p w14:paraId="596F19DD" w14:textId="77777777" w:rsidR="000257F3" w:rsidRDefault="000257F3" w:rsidP="004A1764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8859FB">
        <w:t>Giesbrecht, N., Huguet, N., Ogden, L., Kaplan, M. S., McFarland, B. H., Caetano, R., Conner, K. R., &amp; Nolte, K. B. (2015). Acute alcohol use among suicide decedents in 14 US states: impacts of off-</w:t>
      </w:r>
      <w:proofErr w:type="gramStart"/>
      <w:r w:rsidRPr="008859FB">
        <w:t>premise</w:t>
      </w:r>
      <w:proofErr w:type="gramEnd"/>
      <w:r w:rsidRPr="008859FB">
        <w:t xml:space="preserve"> and on-premise alcohol outlet density. Addiction (Abingdon, England), 110(2), 300–307. </w:t>
      </w:r>
      <w:hyperlink r:id="rId3" w:history="1">
        <w:r w:rsidRPr="006B7CFB">
          <w:rPr>
            <w:rStyle w:val="Hyperlink"/>
          </w:rPr>
          <w:t>https://doi.org/10.1111/add.12762</w:t>
        </w:r>
      </w:hyperlink>
      <w:r>
        <w:t xml:space="preserve"> </w:t>
      </w:r>
    </w:p>
  </w:footnote>
  <w:footnote w:id="5">
    <w:p w14:paraId="1640287A" w14:textId="77777777" w:rsidR="000257F3" w:rsidRDefault="000257F3" w:rsidP="004A1764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8E4642">
        <w:t xml:space="preserve">Pereira, G., Wood, L., Foster, S., &amp; Haggar, F. (2013). Access to alcohol outlets, alcohol consumption and mental health. </w:t>
      </w:r>
      <w:proofErr w:type="spellStart"/>
      <w:r w:rsidRPr="008E4642">
        <w:t>PloS</w:t>
      </w:r>
      <w:proofErr w:type="spellEnd"/>
      <w:r w:rsidRPr="008E4642">
        <w:t xml:space="preserve"> one, 8(1), e53461. </w:t>
      </w:r>
      <w:hyperlink r:id="rId4" w:history="1">
        <w:r w:rsidRPr="006B7CFB">
          <w:rPr>
            <w:rStyle w:val="Hyperlink"/>
          </w:rPr>
          <w:t>https://doi.org/10.1371/journal.pone.0053461</w:t>
        </w:r>
      </w:hyperlink>
      <w:r>
        <w:t xml:space="preserve"> </w:t>
      </w:r>
    </w:p>
  </w:footnote>
  <w:footnote w:id="6">
    <w:p w14:paraId="39B0DFFF" w14:textId="77777777" w:rsidR="00D64213" w:rsidRDefault="00D64213" w:rsidP="004A1764">
      <w:pPr>
        <w:ind w:left="720" w:hanging="720"/>
      </w:pPr>
      <w:r w:rsidRPr="00C43764">
        <w:rPr>
          <w:rStyle w:val="FootnoteReference"/>
          <w:sz w:val="20"/>
          <w:szCs w:val="20"/>
        </w:rPr>
        <w:footnoteRef/>
      </w:r>
      <w:r w:rsidRPr="00C43764">
        <w:rPr>
          <w:sz w:val="20"/>
          <w:szCs w:val="20"/>
        </w:rPr>
        <w:t xml:space="preserve"> </w:t>
      </w:r>
      <w:r w:rsidRPr="000A0F23">
        <w:rPr>
          <w:rFonts w:cstheme="minorHAnsi"/>
          <w:color w:val="222222"/>
          <w:sz w:val="20"/>
          <w:szCs w:val="20"/>
        </w:rPr>
        <w:t xml:space="preserve">Lee, J. P., Ponicki, W., Mair, C., Gruenewald, P., &amp; Ghanem, L. (2020). What explains the concentration of off-premise alcohol outlets in Black </w:t>
      </w:r>
      <w:proofErr w:type="gramStart"/>
      <w:r w:rsidRPr="000A0F23">
        <w:rPr>
          <w:rFonts w:cstheme="minorHAnsi"/>
          <w:color w:val="222222"/>
          <w:sz w:val="20"/>
          <w:szCs w:val="20"/>
        </w:rPr>
        <w:t>neighborhoods?.</w:t>
      </w:r>
      <w:proofErr w:type="gramEnd"/>
      <w:r w:rsidRPr="000A0F23">
        <w:rPr>
          <w:rFonts w:cstheme="minorHAnsi"/>
          <w:color w:val="222222"/>
          <w:sz w:val="20"/>
          <w:szCs w:val="20"/>
        </w:rPr>
        <w:t> </w:t>
      </w:r>
      <w:r w:rsidRPr="00C43764">
        <w:rPr>
          <w:rFonts w:cstheme="minorHAnsi"/>
          <w:i/>
          <w:iCs/>
          <w:color w:val="222222"/>
          <w:sz w:val="20"/>
          <w:szCs w:val="20"/>
        </w:rPr>
        <w:t>SSM-Population Health</w:t>
      </w:r>
      <w:r w:rsidRPr="00C43764">
        <w:rPr>
          <w:rFonts w:cstheme="minorHAnsi"/>
          <w:color w:val="222222"/>
          <w:sz w:val="20"/>
          <w:szCs w:val="20"/>
        </w:rPr>
        <w:t>, </w:t>
      </w:r>
      <w:r w:rsidRPr="00C43764">
        <w:rPr>
          <w:rFonts w:cstheme="minorHAnsi"/>
          <w:i/>
          <w:iCs/>
          <w:color w:val="222222"/>
          <w:sz w:val="20"/>
          <w:szCs w:val="20"/>
        </w:rPr>
        <w:t>12</w:t>
      </w:r>
      <w:r w:rsidRPr="00C43764">
        <w:rPr>
          <w:rFonts w:cstheme="minorHAnsi"/>
          <w:color w:val="222222"/>
          <w:sz w:val="20"/>
          <w:szCs w:val="20"/>
        </w:rPr>
        <w:t xml:space="preserve">, 100669. </w:t>
      </w:r>
      <w:hyperlink r:id="rId5">
        <w:r w:rsidRPr="00C43764">
          <w:rPr>
            <w:rStyle w:val="Hyperlink"/>
            <w:rFonts w:cstheme="minorHAnsi"/>
            <w:sz w:val="20"/>
            <w:szCs w:val="20"/>
          </w:rPr>
          <w:t>https://www.ncbi.nlm.nih.gov/pmc/articles/PMC7576518/</w:t>
        </w:r>
      </w:hyperlink>
    </w:p>
  </w:footnote>
  <w:footnote w:id="7">
    <w:p w14:paraId="72E70142" w14:textId="5D6347AD" w:rsidR="00C13759" w:rsidRDefault="00C13759" w:rsidP="004A1764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7E503E">
        <w:t xml:space="preserve">The Community Guide. Excessive Alcohol Consumption. </w:t>
      </w:r>
      <w:hyperlink r:id="rId6" w:history="1">
        <w:r w:rsidR="007E503E" w:rsidRPr="008454D0">
          <w:rPr>
            <w:rStyle w:val="Hyperlink"/>
          </w:rPr>
          <w:t>https://www.thecommunityguide.org/topic/excessive-alcohol-consumption</w:t>
        </w:r>
      </w:hyperlink>
      <w:r w:rsidR="007E503E">
        <w:t xml:space="preserve"> </w:t>
      </w:r>
    </w:p>
  </w:footnote>
  <w:footnote w:id="8">
    <w:p w14:paraId="5E84DB26" w14:textId="1E8CB637" w:rsidR="009B7963" w:rsidRDefault="009B7963" w:rsidP="004A1764">
      <w:pPr>
        <w:ind w:left="720" w:hanging="720"/>
      </w:pPr>
      <w:r w:rsidRPr="009136C3">
        <w:rPr>
          <w:rStyle w:val="FootnoteReference"/>
          <w:sz w:val="20"/>
          <w:szCs w:val="20"/>
        </w:rPr>
        <w:footnoteRef/>
      </w:r>
      <w:r w:rsidRPr="009136C3">
        <w:rPr>
          <w:sz w:val="20"/>
          <w:szCs w:val="20"/>
        </w:rPr>
        <w:t xml:space="preserve"> Centers for Disease Control and Prevention. Guide for Measuring Alcohol Outlet Density</w:t>
      </w:r>
      <w:r>
        <w:rPr>
          <w:sz w:val="20"/>
          <w:szCs w:val="20"/>
        </w:rPr>
        <w:t xml:space="preserve"> (2017)</w:t>
      </w:r>
      <w:r w:rsidRPr="009136C3">
        <w:rPr>
          <w:sz w:val="20"/>
          <w:szCs w:val="20"/>
        </w:rPr>
        <w:t>. Atlanta, GA: Centers for Disease Control and Prevention, US Dept of Health and Human Services</w:t>
      </w:r>
      <w:r>
        <w:rPr>
          <w:sz w:val="20"/>
          <w:szCs w:val="20"/>
        </w:rPr>
        <w:t xml:space="preserve">. </w:t>
      </w:r>
      <w:hyperlink r:id="rId7" w:history="1">
        <w:r w:rsidRPr="005A32B5">
          <w:rPr>
            <w:rStyle w:val="Hyperlink"/>
            <w:sz w:val="20"/>
            <w:szCs w:val="20"/>
          </w:rPr>
          <w:t>https://www.cdc.gov/alcohol/pdfs/CDC-Guide-for-Measuring-Alcohol-Outlet-Density.pdf</w:t>
        </w:r>
      </w:hyperlink>
      <w:r>
        <w:rPr>
          <w:sz w:val="20"/>
          <w:szCs w:val="20"/>
        </w:rPr>
        <w:t xml:space="preserve"> </w:t>
      </w:r>
    </w:p>
  </w:footnote>
  <w:footnote w:id="9">
    <w:p w14:paraId="254C8A9B" w14:textId="24D74720" w:rsidR="000A4A07" w:rsidRPr="008B769B" w:rsidRDefault="000A4A07" w:rsidP="004A1764">
      <w:pPr>
        <w:ind w:left="720" w:hanging="720"/>
        <w:rPr>
          <w:sz w:val="20"/>
          <w:szCs w:val="20"/>
        </w:rPr>
      </w:pPr>
      <w:r w:rsidRPr="000A0F23">
        <w:rPr>
          <w:rStyle w:val="FootnoteReference"/>
          <w:rFonts w:cstheme="minorHAnsi"/>
          <w:sz w:val="20"/>
          <w:szCs w:val="20"/>
        </w:rPr>
        <w:footnoteRef/>
      </w:r>
      <w:r w:rsidRPr="000A0F23">
        <w:rPr>
          <w:rFonts w:cstheme="minorHAnsi"/>
          <w:sz w:val="20"/>
          <w:szCs w:val="20"/>
        </w:rPr>
        <w:t xml:space="preserve"> </w:t>
      </w:r>
      <w:proofErr w:type="spellStart"/>
      <w:r w:rsidRPr="003B7121">
        <w:rPr>
          <w:rStyle w:val="author"/>
          <w:rFonts w:cstheme="minorHAnsi"/>
          <w:color w:val="1C1D1E"/>
          <w:sz w:val="20"/>
          <w:szCs w:val="20"/>
          <w:shd w:val="clear" w:color="auto" w:fill="FFFFFF"/>
        </w:rPr>
        <w:t>Gmel</w:t>
      </w:r>
      <w:proofErr w:type="spellEnd"/>
      <w:r w:rsidRPr="003B7121">
        <w:rPr>
          <w:rStyle w:val="author"/>
          <w:rFonts w:cstheme="minorHAnsi"/>
          <w:color w:val="1C1D1E"/>
          <w:sz w:val="20"/>
          <w:szCs w:val="20"/>
          <w:shd w:val="clear" w:color="auto" w:fill="FFFFFF"/>
        </w:rPr>
        <w:t>, G.</w:t>
      </w:r>
      <w:r w:rsidRPr="003B7121">
        <w:rPr>
          <w:rFonts w:cstheme="minorHAnsi"/>
          <w:color w:val="1C1D1E"/>
          <w:sz w:val="20"/>
          <w:szCs w:val="20"/>
          <w:shd w:val="clear" w:color="auto" w:fill="FFFFFF"/>
        </w:rPr>
        <w:t>, </w:t>
      </w:r>
      <w:r w:rsidRPr="00FE1955">
        <w:rPr>
          <w:rStyle w:val="author"/>
          <w:rFonts w:cstheme="minorHAnsi"/>
          <w:color w:val="1C1D1E"/>
          <w:sz w:val="20"/>
          <w:szCs w:val="20"/>
          <w:shd w:val="clear" w:color="auto" w:fill="FFFFFF"/>
        </w:rPr>
        <w:t>Holmes, J.</w:t>
      </w:r>
      <w:r w:rsidRPr="008B769B">
        <w:rPr>
          <w:rFonts w:cstheme="minorHAnsi"/>
          <w:color w:val="1C1D1E"/>
          <w:sz w:val="20"/>
          <w:szCs w:val="20"/>
          <w:shd w:val="clear" w:color="auto" w:fill="FFFFFF"/>
        </w:rPr>
        <w:t>, and </w:t>
      </w:r>
      <w:r w:rsidRPr="008B769B">
        <w:rPr>
          <w:rStyle w:val="author"/>
          <w:rFonts w:cstheme="minorHAnsi"/>
          <w:color w:val="1C1D1E"/>
          <w:sz w:val="20"/>
          <w:szCs w:val="20"/>
          <w:shd w:val="clear" w:color="auto" w:fill="FFFFFF"/>
        </w:rPr>
        <w:t>Studer, J.</w:t>
      </w:r>
      <w:r w:rsidRPr="008B769B">
        <w:rPr>
          <w:rFonts w:cstheme="minorHAnsi"/>
          <w:color w:val="1C1D1E"/>
          <w:sz w:val="20"/>
          <w:szCs w:val="20"/>
          <w:shd w:val="clear" w:color="auto" w:fill="FFFFFF"/>
        </w:rPr>
        <w:t> (</w:t>
      </w:r>
      <w:r w:rsidRPr="008B769B">
        <w:rPr>
          <w:rStyle w:val="pubyear"/>
          <w:rFonts w:cstheme="minorHAnsi"/>
          <w:color w:val="1C1D1E"/>
          <w:sz w:val="20"/>
          <w:szCs w:val="20"/>
          <w:shd w:val="clear" w:color="auto" w:fill="FFFFFF"/>
        </w:rPr>
        <w:t>2016</w:t>
      </w:r>
      <w:r w:rsidRPr="008B769B">
        <w:rPr>
          <w:rFonts w:cstheme="minorHAnsi"/>
          <w:color w:val="1C1D1E"/>
          <w:sz w:val="20"/>
          <w:szCs w:val="20"/>
          <w:shd w:val="clear" w:color="auto" w:fill="FFFFFF"/>
        </w:rPr>
        <w:t>) </w:t>
      </w:r>
      <w:r w:rsidRPr="008B769B">
        <w:rPr>
          <w:rStyle w:val="articletitle"/>
          <w:rFonts w:cstheme="minorHAnsi"/>
          <w:color w:val="1C1D1E"/>
          <w:sz w:val="20"/>
          <w:szCs w:val="20"/>
          <w:shd w:val="clear" w:color="auto" w:fill="FFFFFF"/>
        </w:rPr>
        <w:t>Are alcohol outlet densities strongly associated with alcohol‐related outcomes? A critical review of recent evidence</w:t>
      </w:r>
      <w:r w:rsidRPr="008B769B">
        <w:rPr>
          <w:rFonts w:cstheme="minorHAnsi"/>
          <w:color w:val="1C1D1E"/>
          <w:sz w:val="20"/>
          <w:szCs w:val="20"/>
          <w:shd w:val="clear" w:color="auto" w:fill="FFFFFF"/>
        </w:rPr>
        <w:t>. </w:t>
      </w:r>
      <w:r w:rsidRPr="008B769B">
        <w:rPr>
          <w:rFonts w:cstheme="minorHAnsi"/>
          <w:i/>
          <w:iCs/>
          <w:color w:val="1C1D1E"/>
          <w:sz w:val="20"/>
          <w:szCs w:val="20"/>
          <w:shd w:val="clear" w:color="auto" w:fill="FFFFFF"/>
        </w:rPr>
        <w:t>Drug Alcohol Rev</w:t>
      </w:r>
      <w:r w:rsidRPr="008B769B">
        <w:rPr>
          <w:rFonts w:cstheme="minorHAnsi"/>
          <w:color w:val="1C1D1E"/>
          <w:sz w:val="20"/>
          <w:szCs w:val="20"/>
          <w:shd w:val="clear" w:color="auto" w:fill="FFFFFF"/>
        </w:rPr>
        <w:t>, </w:t>
      </w:r>
      <w:r w:rsidRPr="008B769B">
        <w:rPr>
          <w:rStyle w:val="vol"/>
          <w:rFonts w:cstheme="minorHAnsi"/>
          <w:color w:val="1C1D1E"/>
          <w:sz w:val="20"/>
          <w:szCs w:val="20"/>
          <w:shd w:val="clear" w:color="auto" w:fill="FFFFFF"/>
        </w:rPr>
        <w:t>35</w:t>
      </w:r>
      <w:r w:rsidRPr="008B769B">
        <w:rPr>
          <w:rFonts w:cstheme="minorHAnsi"/>
          <w:color w:val="1C1D1E"/>
          <w:sz w:val="20"/>
          <w:szCs w:val="20"/>
          <w:shd w:val="clear" w:color="auto" w:fill="FFFFFF"/>
        </w:rPr>
        <w:t>: </w:t>
      </w:r>
      <w:r w:rsidRPr="008B769B">
        <w:rPr>
          <w:rStyle w:val="pagefirst"/>
          <w:rFonts w:cstheme="minorHAnsi"/>
          <w:color w:val="1C1D1E"/>
          <w:sz w:val="20"/>
          <w:szCs w:val="20"/>
          <w:shd w:val="clear" w:color="auto" w:fill="FFFFFF"/>
        </w:rPr>
        <w:t>40</w:t>
      </w:r>
      <w:r w:rsidRPr="008B769B">
        <w:rPr>
          <w:rFonts w:cstheme="minorHAnsi"/>
          <w:color w:val="1C1D1E"/>
          <w:sz w:val="20"/>
          <w:szCs w:val="20"/>
          <w:shd w:val="clear" w:color="auto" w:fill="FFFFFF"/>
        </w:rPr>
        <w:t>– </w:t>
      </w:r>
      <w:r w:rsidRPr="008B769B">
        <w:rPr>
          <w:rStyle w:val="pagelast"/>
          <w:rFonts w:cstheme="minorHAnsi"/>
          <w:color w:val="1C1D1E"/>
          <w:sz w:val="20"/>
          <w:szCs w:val="20"/>
          <w:shd w:val="clear" w:color="auto" w:fill="FFFFFF"/>
        </w:rPr>
        <w:t>54</w:t>
      </w:r>
      <w:r w:rsidRPr="008B769B">
        <w:rPr>
          <w:rFonts w:cstheme="minorHAnsi"/>
          <w:color w:val="1C1D1E"/>
          <w:sz w:val="20"/>
          <w:szCs w:val="20"/>
          <w:shd w:val="clear" w:color="auto" w:fill="FFFFFF"/>
        </w:rPr>
        <w:t xml:space="preserve">. </w:t>
      </w:r>
      <w:hyperlink r:id="rId8" w:history="1">
        <w:r w:rsidR="00DD1563" w:rsidRPr="009B5274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https://doi.org/10.1111/dar.12304</w:t>
        </w:r>
      </w:hyperlink>
      <w:r w:rsidR="00DD1563">
        <w:rPr>
          <w:rFonts w:cstheme="minorHAnsi"/>
          <w:color w:val="1C1D1E"/>
          <w:sz w:val="20"/>
          <w:szCs w:val="20"/>
          <w:shd w:val="clear" w:color="auto" w:fill="FFFFFF"/>
        </w:rPr>
        <w:t xml:space="preserve"> </w:t>
      </w:r>
    </w:p>
  </w:footnote>
  <w:footnote w:id="10">
    <w:p w14:paraId="5CF0FC0E" w14:textId="12388D2D" w:rsidR="00066DC4" w:rsidRPr="00E360C8" w:rsidRDefault="00066DC4" w:rsidP="004A1764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Mair, C., </w:t>
      </w:r>
      <w:proofErr w:type="spellStart"/>
      <w:r>
        <w:t>Sumetsky</w:t>
      </w:r>
      <w:proofErr w:type="spellEnd"/>
      <w:r w:rsidR="00EA7791">
        <w:t xml:space="preserve">, N., </w:t>
      </w:r>
      <w:r w:rsidR="00821383">
        <w:t>Gruenewal</w:t>
      </w:r>
      <w:r w:rsidR="004E6388">
        <w:t>d</w:t>
      </w:r>
      <w:r w:rsidR="00821383">
        <w:t xml:space="preserve">, P.J., </w:t>
      </w:r>
      <w:r w:rsidR="007D386F">
        <w:t>and Lee, J.</w:t>
      </w:r>
      <w:r w:rsidR="004E6388">
        <w:t xml:space="preserve"> (2020) </w:t>
      </w:r>
      <w:r w:rsidR="004E6388" w:rsidRPr="004E6388">
        <w:t>Microecological Relationships Between Area Income, Off-</w:t>
      </w:r>
      <w:proofErr w:type="gramStart"/>
      <w:r w:rsidR="004E6388" w:rsidRPr="004E6388">
        <w:t>Premise</w:t>
      </w:r>
      <w:proofErr w:type="gramEnd"/>
      <w:r w:rsidR="004E6388" w:rsidRPr="004E6388">
        <w:t xml:space="preserve"> Alcohol Outlet Density, Drinking Patterns, and Alcohol Use Disorders: The East Bay Neighborhoods Study</w:t>
      </w:r>
      <w:r w:rsidR="001F17AE">
        <w:t xml:space="preserve">. </w:t>
      </w:r>
      <w:r w:rsidR="009E5FC8" w:rsidRPr="00E360C8">
        <w:rPr>
          <w:i/>
          <w:iCs/>
        </w:rPr>
        <w:t>Alcoholism: Clinical and Experimental Research</w:t>
      </w:r>
      <w:r w:rsidR="00855E83">
        <w:rPr>
          <w:i/>
          <w:iCs/>
        </w:rPr>
        <w:t xml:space="preserve">. </w:t>
      </w:r>
      <w:hyperlink r:id="rId9" w:history="1">
        <w:r w:rsidR="0015090D" w:rsidRPr="005A32B5">
          <w:rPr>
            <w:rStyle w:val="Hyperlink"/>
          </w:rPr>
          <w:t>https://doi.org/10.1111/acer.14387</w:t>
        </w:r>
      </w:hyperlink>
      <w:r w:rsidR="0015090D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4E"/>
    <w:multiLevelType w:val="hybridMultilevel"/>
    <w:tmpl w:val="69AA287A"/>
    <w:lvl w:ilvl="0" w:tplc="03925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1C0E"/>
    <w:multiLevelType w:val="hybridMultilevel"/>
    <w:tmpl w:val="EC7E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6D92"/>
    <w:multiLevelType w:val="hybridMultilevel"/>
    <w:tmpl w:val="B39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A07DA5"/>
    <w:multiLevelType w:val="hybridMultilevel"/>
    <w:tmpl w:val="166C6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923EB"/>
    <w:multiLevelType w:val="hybridMultilevel"/>
    <w:tmpl w:val="4634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24D5B"/>
    <w:multiLevelType w:val="multilevel"/>
    <w:tmpl w:val="C05039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3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5A53"/>
    <w:rsid w:val="00006464"/>
    <w:rsid w:val="000078DB"/>
    <w:rsid w:val="00007F1E"/>
    <w:rsid w:val="00013176"/>
    <w:rsid w:val="00014A4C"/>
    <w:rsid w:val="00016F24"/>
    <w:rsid w:val="000257F3"/>
    <w:rsid w:val="0002654B"/>
    <w:rsid w:val="00030C61"/>
    <w:rsid w:val="00030D66"/>
    <w:rsid w:val="00045E14"/>
    <w:rsid w:val="00052AD4"/>
    <w:rsid w:val="00054184"/>
    <w:rsid w:val="000548B1"/>
    <w:rsid w:val="00065C98"/>
    <w:rsid w:val="000666B0"/>
    <w:rsid w:val="00066DC4"/>
    <w:rsid w:val="000741D7"/>
    <w:rsid w:val="000764BD"/>
    <w:rsid w:val="0007682E"/>
    <w:rsid w:val="000A0F23"/>
    <w:rsid w:val="000A4A07"/>
    <w:rsid w:val="000A7C2A"/>
    <w:rsid w:val="000B494A"/>
    <w:rsid w:val="000C153F"/>
    <w:rsid w:val="000C6195"/>
    <w:rsid w:val="000D43BD"/>
    <w:rsid w:val="000D75BA"/>
    <w:rsid w:val="000E4AB7"/>
    <w:rsid w:val="000E5F85"/>
    <w:rsid w:val="00101333"/>
    <w:rsid w:val="00105FC5"/>
    <w:rsid w:val="00106172"/>
    <w:rsid w:val="00115CA6"/>
    <w:rsid w:val="0013422C"/>
    <w:rsid w:val="00137CF7"/>
    <w:rsid w:val="00137EC7"/>
    <w:rsid w:val="00140CA2"/>
    <w:rsid w:val="0014361C"/>
    <w:rsid w:val="00146D0A"/>
    <w:rsid w:val="0015090D"/>
    <w:rsid w:val="00150B9D"/>
    <w:rsid w:val="001560D4"/>
    <w:rsid w:val="00180806"/>
    <w:rsid w:val="00180DF7"/>
    <w:rsid w:val="00183542"/>
    <w:rsid w:val="001901D4"/>
    <w:rsid w:val="001952DB"/>
    <w:rsid w:val="001A50FC"/>
    <w:rsid w:val="001B0121"/>
    <w:rsid w:val="001B53EB"/>
    <w:rsid w:val="001C6F2E"/>
    <w:rsid w:val="001C7725"/>
    <w:rsid w:val="001C7E90"/>
    <w:rsid w:val="001D6C64"/>
    <w:rsid w:val="001D72B1"/>
    <w:rsid w:val="001E57FB"/>
    <w:rsid w:val="001F17AE"/>
    <w:rsid w:val="001F7D73"/>
    <w:rsid w:val="00201F65"/>
    <w:rsid w:val="00207C9F"/>
    <w:rsid w:val="00212C5D"/>
    <w:rsid w:val="00225805"/>
    <w:rsid w:val="00235A53"/>
    <w:rsid w:val="00237478"/>
    <w:rsid w:val="00241339"/>
    <w:rsid w:val="00243820"/>
    <w:rsid w:val="002506EB"/>
    <w:rsid w:val="002508BF"/>
    <w:rsid w:val="002540D5"/>
    <w:rsid w:val="002615F1"/>
    <w:rsid w:val="00262070"/>
    <w:rsid w:val="00263CEF"/>
    <w:rsid w:val="00270F6B"/>
    <w:rsid w:val="00272322"/>
    <w:rsid w:val="00273143"/>
    <w:rsid w:val="0028008A"/>
    <w:rsid w:val="0028142B"/>
    <w:rsid w:val="00282585"/>
    <w:rsid w:val="00290A5F"/>
    <w:rsid w:val="0029340B"/>
    <w:rsid w:val="00293D45"/>
    <w:rsid w:val="00297239"/>
    <w:rsid w:val="002A3BE7"/>
    <w:rsid w:val="002A5734"/>
    <w:rsid w:val="002A5D75"/>
    <w:rsid w:val="002B4C23"/>
    <w:rsid w:val="002B6F8E"/>
    <w:rsid w:val="002C03EA"/>
    <w:rsid w:val="002D31E1"/>
    <w:rsid w:val="002D3FAA"/>
    <w:rsid w:val="002E5B1B"/>
    <w:rsid w:val="002F2DD2"/>
    <w:rsid w:val="003061B8"/>
    <w:rsid w:val="00307D11"/>
    <w:rsid w:val="00315DE4"/>
    <w:rsid w:val="003269C4"/>
    <w:rsid w:val="00326F71"/>
    <w:rsid w:val="00330E32"/>
    <w:rsid w:val="0034784F"/>
    <w:rsid w:val="00360697"/>
    <w:rsid w:val="003612BD"/>
    <w:rsid w:val="003647D5"/>
    <w:rsid w:val="00370C27"/>
    <w:rsid w:val="003779BD"/>
    <w:rsid w:val="00385402"/>
    <w:rsid w:val="00397C64"/>
    <w:rsid w:val="00397FBC"/>
    <w:rsid w:val="003A0BDB"/>
    <w:rsid w:val="003A2226"/>
    <w:rsid w:val="003B2A7E"/>
    <w:rsid w:val="003B6921"/>
    <w:rsid w:val="003B7121"/>
    <w:rsid w:val="003C04EE"/>
    <w:rsid w:val="003C4B83"/>
    <w:rsid w:val="003C7463"/>
    <w:rsid w:val="003D1192"/>
    <w:rsid w:val="003D1E2B"/>
    <w:rsid w:val="003D244E"/>
    <w:rsid w:val="003D4F44"/>
    <w:rsid w:val="003E0F9F"/>
    <w:rsid w:val="003E40F0"/>
    <w:rsid w:val="003E7519"/>
    <w:rsid w:val="003F1EA4"/>
    <w:rsid w:val="003F213D"/>
    <w:rsid w:val="003F5C44"/>
    <w:rsid w:val="004000B7"/>
    <w:rsid w:val="0040604D"/>
    <w:rsid w:val="00406AFC"/>
    <w:rsid w:val="00412D30"/>
    <w:rsid w:val="004144B6"/>
    <w:rsid w:val="00415D98"/>
    <w:rsid w:val="0042241C"/>
    <w:rsid w:val="00423CE1"/>
    <w:rsid w:val="00425191"/>
    <w:rsid w:val="0042667C"/>
    <w:rsid w:val="00430675"/>
    <w:rsid w:val="00433CEA"/>
    <w:rsid w:val="0043612D"/>
    <w:rsid w:val="004377B3"/>
    <w:rsid w:val="00441AFF"/>
    <w:rsid w:val="004451CC"/>
    <w:rsid w:val="00447F86"/>
    <w:rsid w:val="004503EB"/>
    <w:rsid w:val="00455AFE"/>
    <w:rsid w:val="00457C70"/>
    <w:rsid w:val="00462EF9"/>
    <w:rsid w:val="004704B0"/>
    <w:rsid w:val="0047476C"/>
    <w:rsid w:val="00482025"/>
    <w:rsid w:val="004831B5"/>
    <w:rsid w:val="004854CC"/>
    <w:rsid w:val="00491956"/>
    <w:rsid w:val="004A1764"/>
    <w:rsid w:val="004A6D67"/>
    <w:rsid w:val="004B37F9"/>
    <w:rsid w:val="004B6CE2"/>
    <w:rsid w:val="004C1E94"/>
    <w:rsid w:val="004C7FA0"/>
    <w:rsid w:val="004D06D2"/>
    <w:rsid w:val="004D3D5B"/>
    <w:rsid w:val="004E05EF"/>
    <w:rsid w:val="004E3388"/>
    <w:rsid w:val="004E6388"/>
    <w:rsid w:val="00502DAA"/>
    <w:rsid w:val="005157C8"/>
    <w:rsid w:val="0052478C"/>
    <w:rsid w:val="00541485"/>
    <w:rsid w:val="0054495A"/>
    <w:rsid w:val="00546906"/>
    <w:rsid w:val="00547DCD"/>
    <w:rsid w:val="0055108D"/>
    <w:rsid w:val="00555E5D"/>
    <w:rsid w:val="00557E36"/>
    <w:rsid w:val="005611FD"/>
    <w:rsid w:val="00575F6C"/>
    <w:rsid w:val="00586789"/>
    <w:rsid w:val="00590F94"/>
    <w:rsid w:val="00596BC4"/>
    <w:rsid w:val="005A2930"/>
    <w:rsid w:val="005B43FF"/>
    <w:rsid w:val="005C6AE4"/>
    <w:rsid w:val="005F367A"/>
    <w:rsid w:val="00600A08"/>
    <w:rsid w:val="00614B5C"/>
    <w:rsid w:val="0062737C"/>
    <w:rsid w:val="006349A3"/>
    <w:rsid w:val="006411AF"/>
    <w:rsid w:val="00641A19"/>
    <w:rsid w:val="00645F12"/>
    <w:rsid w:val="00646953"/>
    <w:rsid w:val="006505A9"/>
    <w:rsid w:val="006522D5"/>
    <w:rsid w:val="00654B8E"/>
    <w:rsid w:val="00660E1B"/>
    <w:rsid w:val="00666B09"/>
    <w:rsid w:val="0067272B"/>
    <w:rsid w:val="00691881"/>
    <w:rsid w:val="00694F28"/>
    <w:rsid w:val="006A4630"/>
    <w:rsid w:val="006A5405"/>
    <w:rsid w:val="006B364C"/>
    <w:rsid w:val="006C0A2F"/>
    <w:rsid w:val="006D060A"/>
    <w:rsid w:val="006D43D0"/>
    <w:rsid w:val="006E1EF4"/>
    <w:rsid w:val="006E7370"/>
    <w:rsid w:val="006F5C69"/>
    <w:rsid w:val="006F6A30"/>
    <w:rsid w:val="0070276E"/>
    <w:rsid w:val="00706157"/>
    <w:rsid w:val="00710DEC"/>
    <w:rsid w:val="0071122A"/>
    <w:rsid w:val="00723F3A"/>
    <w:rsid w:val="0072559C"/>
    <w:rsid w:val="0077095F"/>
    <w:rsid w:val="0077130B"/>
    <w:rsid w:val="007841C4"/>
    <w:rsid w:val="0079125B"/>
    <w:rsid w:val="007971AD"/>
    <w:rsid w:val="007A66F8"/>
    <w:rsid w:val="007A7556"/>
    <w:rsid w:val="007B3061"/>
    <w:rsid w:val="007B3A38"/>
    <w:rsid w:val="007B5CCD"/>
    <w:rsid w:val="007C5E75"/>
    <w:rsid w:val="007D386F"/>
    <w:rsid w:val="007D624E"/>
    <w:rsid w:val="007E17AB"/>
    <w:rsid w:val="007E229D"/>
    <w:rsid w:val="007E503E"/>
    <w:rsid w:val="007E5BD2"/>
    <w:rsid w:val="007F2B7D"/>
    <w:rsid w:val="007F4BB1"/>
    <w:rsid w:val="0080081A"/>
    <w:rsid w:val="0080163A"/>
    <w:rsid w:val="008078BE"/>
    <w:rsid w:val="0081035A"/>
    <w:rsid w:val="00815204"/>
    <w:rsid w:val="008170A1"/>
    <w:rsid w:val="00821383"/>
    <w:rsid w:val="00827788"/>
    <w:rsid w:val="008277ED"/>
    <w:rsid w:val="00832EC1"/>
    <w:rsid w:val="00834819"/>
    <w:rsid w:val="00837311"/>
    <w:rsid w:val="00855E83"/>
    <w:rsid w:val="00861054"/>
    <w:rsid w:val="008630EE"/>
    <w:rsid w:val="00871099"/>
    <w:rsid w:val="00875DB8"/>
    <w:rsid w:val="008859FB"/>
    <w:rsid w:val="00890D81"/>
    <w:rsid w:val="008942E2"/>
    <w:rsid w:val="00894C9F"/>
    <w:rsid w:val="008A2E8D"/>
    <w:rsid w:val="008A4CF2"/>
    <w:rsid w:val="008B110E"/>
    <w:rsid w:val="008C003C"/>
    <w:rsid w:val="008C321A"/>
    <w:rsid w:val="008C73C2"/>
    <w:rsid w:val="008D48C1"/>
    <w:rsid w:val="008D5AEC"/>
    <w:rsid w:val="008D7060"/>
    <w:rsid w:val="008E13DF"/>
    <w:rsid w:val="008E4642"/>
    <w:rsid w:val="008E6E54"/>
    <w:rsid w:val="008F2B72"/>
    <w:rsid w:val="008F3B97"/>
    <w:rsid w:val="008F73BB"/>
    <w:rsid w:val="009062A7"/>
    <w:rsid w:val="00907D51"/>
    <w:rsid w:val="0091089F"/>
    <w:rsid w:val="009136C3"/>
    <w:rsid w:val="00914732"/>
    <w:rsid w:val="00917F8A"/>
    <w:rsid w:val="00926193"/>
    <w:rsid w:val="009279E3"/>
    <w:rsid w:val="009372D5"/>
    <w:rsid w:val="00946EB1"/>
    <w:rsid w:val="00947312"/>
    <w:rsid w:val="00947E3B"/>
    <w:rsid w:val="00963D1E"/>
    <w:rsid w:val="00966D8D"/>
    <w:rsid w:val="00967BBB"/>
    <w:rsid w:val="00980417"/>
    <w:rsid w:val="00982743"/>
    <w:rsid w:val="009917F8"/>
    <w:rsid w:val="00993C72"/>
    <w:rsid w:val="00994FF8"/>
    <w:rsid w:val="00997FA8"/>
    <w:rsid w:val="009A1FED"/>
    <w:rsid w:val="009B059E"/>
    <w:rsid w:val="009B6254"/>
    <w:rsid w:val="009B7963"/>
    <w:rsid w:val="009C0882"/>
    <w:rsid w:val="009D01C4"/>
    <w:rsid w:val="009D1ADA"/>
    <w:rsid w:val="009E04E7"/>
    <w:rsid w:val="009E5C55"/>
    <w:rsid w:val="009E5FC8"/>
    <w:rsid w:val="009F072D"/>
    <w:rsid w:val="009F681E"/>
    <w:rsid w:val="009F6F82"/>
    <w:rsid w:val="00A026CA"/>
    <w:rsid w:val="00A16408"/>
    <w:rsid w:val="00A23FDB"/>
    <w:rsid w:val="00A34BBA"/>
    <w:rsid w:val="00A35E7D"/>
    <w:rsid w:val="00A365E1"/>
    <w:rsid w:val="00A40A10"/>
    <w:rsid w:val="00A45B34"/>
    <w:rsid w:val="00A54A18"/>
    <w:rsid w:val="00A620ED"/>
    <w:rsid w:val="00A6341A"/>
    <w:rsid w:val="00A63A67"/>
    <w:rsid w:val="00A6408B"/>
    <w:rsid w:val="00A705C9"/>
    <w:rsid w:val="00A70BCE"/>
    <w:rsid w:val="00A73104"/>
    <w:rsid w:val="00A74E02"/>
    <w:rsid w:val="00A75AB7"/>
    <w:rsid w:val="00A81BF2"/>
    <w:rsid w:val="00A826E0"/>
    <w:rsid w:val="00A85CF9"/>
    <w:rsid w:val="00A85E6C"/>
    <w:rsid w:val="00A86810"/>
    <w:rsid w:val="00A9130D"/>
    <w:rsid w:val="00A919D4"/>
    <w:rsid w:val="00A96381"/>
    <w:rsid w:val="00AA3A42"/>
    <w:rsid w:val="00AA766C"/>
    <w:rsid w:val="00AB273F"/>
    <w:rsid w:val="00AD117B"/>
    <w:rsid w:val="00AE0420"/>
    <w:rsid w:val="00AE06DE"/>
    <w:rsid w:val="00AE261C"/>
    <w:rsid w:val="00AF62E2"/>
    <w:rsid w:val="00AF65B2"/>
    <w:rsid w:val="00B06E73"/>
    <w:rsid w:val="00B147BF"/>
    <w:rsid w:val="00B20EF8"/>
    <w:rsid w:val="00B21A7E"/>
    <w:rsid w:val="00B26520"/>
    <w:rsid w:val="00B321B1"/>
    <w:rsid w:val="00B334C7"/>
    <w:rsid w:val="00B362E8"/>
    <w:rsid w:val="00B36537"/>
    <w:rsid w:val="00B4213F"/>
    <w:rsid w:val="00B43006"/>
    <w:rsid w:val="00B52353"/>
    <w:rsid w:val="00B551E6"/>
    <w:rsid w:val="00B577BA"/>
    <w:rsid w:val="00B673C1"/>
    <w:rsid w:val="00B77980"/>
    <w:rsid w:val="00B8600B"/>
    <w:rsid w:val="00B9011A"/>
    <w:rsid w:val="00B970E5"/>
    <w:rsid w:val="00BA3650"/>
    <w:rsid w:val="00BA4B95"/>
    <w:rsid w:val="00BC036A"/>
    <w:rsid w:val="00BC7710"/>
    <w:rsid w:val="00BD0518"/>
    <w:rsid w:val="00BD5A78"/>
    <w:rsid w:val="00BF0566"/>
    <w:rsid w:val="00C06EAB"/>
    <w:rsid w:val="00C13759"/>
    <w:rsid w:val="00C30544"/>
    <w:rsid w:val="00C33922"/>
    <w:rsid w:val="00C33C72"/>
    <w:rsid w:val="00C43764"/>
    <w:rsid w:val="00C459DD"/>
    <w:rsid w:val="00C54E7C"/>
    <w:rsid w:val="00C57D8B"/>
    <w:rsid w:val="00C63158"/>
    <w:rsid w:val="00C660C4"/>
    <w:rsid w:val="00C755D7"/>
    <w:rsid w:val="00C76137"/>
    <w:rsid w:val="00C76E97"/>
    <w:rsid w:val="00C8203C"/>
    <w:rsid w:val="00C92BD2"/>
    <w:rsid w:val="00C9343E"/>
    <w:rsid w:val="00C93D2F"/>
    <w:rsid w:val="00C95BB7"/>
    <w:rsid w:val="00CA6B62"/>
    <w:rsid w:val="00CB3136"/>
    <w:rsid w:val="00CB74BC"/>
    <w:rsid w:val="00CC1DFF"/>
    <w:rsid w:val="00CC6733"/>
    <w:rsid w:val="00CD781E"/>
    <w:rsid w:val="00CE29DA"/>
    <w:rsid w:val="00CE4DD9"/>
    <w:rsid w:val="00CF0E04"/>
    <w:rsid w:val="00D031B2"/>
    <w:rsid w:val="00D04090"/>
    <w:rsid w:val="00D15081"/>
    <w:rsid w:val="00D15AA7"/>
    <w:rsid w:val="00D1707F"/>
    <w:rsid w:val="00D17607"/>
    <w:rsid w:val="00D20255"/>
    <w:rsid w:val="00D35B46"/>
    <w:rsid w:val="00D47C91"/>
    <w:rsid w:val="00D54A74"/>
    <w:rsid w:val="00D55080"/>
    <w:rsid w:val="00D605E0"/>
    <w:rsid w:val="00D64213"/>
    <w:rsid w:val="00D67E01"/>
    <w:rsid w:val="00D83F7F"/>
    <w:rsid w:val="00D90175"/>
    <w:rsid w:val="00D92241"/>
    <w:rsid w:val="00D9451D"/>
    <w:rsid w:val="00D96027"/>
    <w:rsid w:val="00D96A32"/>
    <w:rsid w:val="00DA3F6A"/>
    <w:rsid w:val="00DA5C33"/>
    <w:rsid w:val="00DA7BE2"/>
    <w:rsid w:val="00DB06D6"/>
    <w:rsid w:val="00DC4B75"/>
    <w:rsid w:val="00DD1563"/>
    <w:rsid w:val="00DF7EBF"/>
    <w:rsid w:val="00E015CB"/>
    <w:rsid w:val="00E02E24"/>
    <w:rsid w:val="00E04A52"/>
    <w:rsid w:val="00E04DEA"/>
    <w:rsid w:val="00E05CE0"/>
    <w:rsid w:val="00E12C5B"/>
    <w:rsid w:val="00E15AF4"/>
    <w:rsid w:val="00E25599"/>
    <w:rsid w:val="00E260B5"/>
    <w:rsid w:val="00E3049D"/>
    <w:rsid w:val="00E358E3"/>
    <w:rsid w:val="00E360C8"/>
    <w:rsid w:val="00E46C57"/>
    <w:rsid w:val="00E63321"/>
    <w:rsid w:val="00E701B0"/>
    <w:rsid w:val="00E74BB5"/>
    <w:rsid w:val="00E80995"/>
    <w:rsid w:val="00E82292"/>
    <w:rsid w:val="00E9304D"/>
    <w:rsid w:val="00E959F8"/>
    <w:rsid w:val="00E97911"/>
    <w:rsid w:val="00EA3FE4"/>
    <w:rsid w:val="00EA7791"/>
    <w:rsid w:val="00EB3694"/>
    <w:rsid w:val="00EB4B23"/>
    <w:rsid w:val="00EC1511"/>
    <w:rsid w:val="00EC2AD6"/>
    <w:rsid w:val="00EC2DCF"/>
    <w:rsid w:val="00EC670E"/>
    <w:rsid w:val="00EC7DF6"/>
    <w:rsid w:val="00ED6351"/>
    <w:rsid w:val="00EE5730"/>
    <w:rsid w:val="00EE6B68"/>
    <w:rsid w:val="00EE6F40"/>
    <w:rsid w:val="00EF4B4B"/>
    <w:rsid w:val="00F1236B"/>
    <w:rsid w:val="00F15FA8"/>
    <w:rsid w:val="00F3316E"/>
    <w:rsid w:val="00F4629D"/>
    <w:rsid w:val="00F569BE"/>
    <w:rsid w:val="00F642C0"/>
    <w:rsid w:val="00F6570F"/>
    <w:rsid w:val="00F74976"/>
    <w:rsid w:val="00F80559"/>
    <w:rsid w:val="00F81C05"/>
    <w:rsid w:val="00F82403"/>
    <w:rsid w:val="00F8715B"/>
    <w:rsid w:val="00F875C1"/>
    <w:rsid w:val="00F943D4"/>
    <w:rsid w:val="00FA2DEE"/>
    <w:rsid w:val="00FB51AE"/>
    <w:rsid w:val="00FB5573"/>
    <w:rsid w:val="00FB6B88"/>
    <w:rsid w:val="00FC4584"/>
    <w:rsid w:val="00FC78AD"/>
    <w:rsid w:val="00FD3EC7"/>
    <w:rsid w:val="00FD4C28"/>
    <w:rsid w:val="00FD6E54"/>
    <w:rsid w:val="00FE0887"/>
    <w:rsid w:val="00FE0EF0"/>
    <w:rsid w:val="00FE1955"/>
    <w:rsid w:val="00FE3020"/>
    <w:rsid w:val="00FE6232"/>
    <w:rsid w:val="00FE7DA3"/>
    <w:rsid w:val="00FF2F9B"/>
    <w:rsid w:val="00FF7687"/>
    <w:rsid w:val="01552474"/>
    <w:rsid w:val="01578CEC"/>
    <w:rsid w:val="01DF1252"/>
    <w:rsid w:val="01E6CD07"/>
    <w:rsid w:val="01E82CDB"/>
    <w:rsid w:val="0389292D"/>
    <w:rsid w:val="038DEE8A"/>
    <w:rsid w:val="03B0746E"/>
    <w:rsid w:val="040272B1"/>
    <w:rsid w:val="0417DC68"/>
    <w:rsid w:val="04262785"/>
    <w:rsid w:val="04352F60"/>
    <w:rsid w:val="046002CE"/>
    <w:rsid w:val="04C5B0F0"/>
    <w:rsid w:val="0613AC39"/>
    <w:rsid w:val="063B09F6"/>
    <w:rsid w:val="065AF0E9"/>
    <w:rsid w:val="068000E5"/>
    <w:rsid w:val="06B2B646"/>
    <w:rsid w:val="06B400E7"/>
    <w:rsid w:val="06DC027A"/>
    <w:rsid w:val="0724AAB7"/>
    <w:rsid w:val="07732C60"/>
    <w:rsid w:val="0814E0DA"/>
    <w:rsid w:val="081F19E8"/>
    <w:rsid w:val="0859D7C9"/>
    <w:rsid w:val="087B5BF0"/>
    <w:rsid w:val="09E73F1B"/>
    <w:rsid w:val="0A506D77"/>
    <w:rsid w:val="0A7D3828"/>
    <w:rsid w:val="0AE56F0E"/>
    <w:rsid w:val="0C22C7D9"/>
    <w:rsid w:val="0E1DE4B1"/>
    <w:rsid w:val="0E788B73"/>
    <w:rsid w:val="0E910710"/>
    <w:rsid w:val="0E9A17FA"/>
    <w:rsid w:val="0F102F9A"/>
    <w:rsid w:val="0F2F2524"/>
    <w:rsid w:val="0FE5DDB3"/>
    <w:rsid w:val="10248646"/>
    <w:rsid w:val="10648507"/>
    <w:rsid w:val="10697D35"/>
    <w:rsid w:val="10D1814A"/>
    <w:rsid w:val="10D646A7"/>
    <w:rsid w:val="11014153"/>
    <w:rsid w:val="113CC1BD"/>
    <w:rsid w:val="1162375B"/>
    <w:rsid w:val="1164F9E2"/>
    <w:rsid w:val="11BAF9F1"/>
    <w:rsid w:val="11E59E17"/>
    <w:rsid w:val="1292F91F"/>
    <w:rsid w:val="129CE97B"/>
    <w:rsid w:val="12AB5606"/>
    <w:rsid w:val="12B01D8B"/>
    <w:rsid w:val="144866BA"/>
    <w:rsid w:val="14CA6224"/>
    <w:rsid w:val="15232E83"/>
    <w:rsid w:val="16DBE8A9"/>
    <w:rsid w:val="17CA144E"/>
    <w:rsid w:val="182778CF"/>
    <w:rsid w:val="183F3F6B"/>
    <w:rsid w:val="186C6FBE"/>
    <w:rsid w:val="18CDF2A6"/>
    <w:rsid w:val="190B61B1"/>
    <w:rsid w:val="1974BDB5"/>
    <w:rsid w:val="197869B5"/>
    <w:rsid w:val="1A10435F"/>
    <w:rsid w:val="1A45E100"/>
    <w:rsid w:val="1A4C35B9"/>
    <w:rsid w:val="1AF39F8D"/>
    <w:rsid w:val="1B198B2A"/>
    <w:rsid w:val="1BCC4DD2"/>
    <w:rsid w:val="1C24B012"/>
    <w:rsid w:val="1C2FF69C"/>
    <w:rsid w:val="1C400283"/>
    <w:rsid w:val="1C8C430B"/>
    <w:rsid w:val="1CD747D6"/>
    <w:rsid w:val="1CE971B2"/>
    <w:rsid w:val="1D37F35B"/>
    <w:rsid w:val="1D38262C"/>
    <w:rsid w:val="1E0B9D85"/>
    <w:rsid w:val="1EFDC6DE"/>
    <w:rsid w:val="1F16C26D"/>
    <w:rsid w:val="1F5A51E6"/>
    <w:rsid w:val="2074CBA9"/>
    <w:rsid w:val="207866E9"/>
    <w:rsid w:val="2088AB2D"/>
    <w:rsid w:val="20D891FC"/>
    <w:rsid w:val="212D6FE9"/>
    <w:rsid w:val="21859AE8"/>
    <w:rsid w:val="21C37DD5"/>
    <w:rsid w:val="21C3DDD9"/>
    <w:rsid w:val="21CA91D7"/>
    <w:rsid w:val="2203DC9A"/>
    <w:rsid w:val="230746CD"/>
    <w:rsid w:val="239DB4BD"/>
    <w:rsid w:val="2464AC04"/>
    <w:rsid w:val="25312859"/>
    <w:rsid w:val="256FD0EC"/>
    <w:rsid w:val="25EFAA0F"/>
    <w:rsid w:val="26268E89"/>
    <w:rsid w:val="26E00491"/>
    <w:rsid w:val="27467FA7"/>
    <w:rsid w:val="27994CD6"/>
    <w:rsid w:val="27D3300C"/>
    <w:rsid w:val="27E6C27B"/>
    <w:rsid w:val="2818F478"/>
    <w:rsid w:val="28A214D9"/>
    <w:rsid w:val="28A6DA36"/>
    <w:rsid w:val="28B9DB75"/>
    <w:rsid w:val="29B84D7A"/>
    <w:rsid w:val="29D6C4F4"/>
    <w:rsid w:val="2C35DBAE"/>
    <w:rsid w:val="2C5F1A8A"/>
    <w:rsid w:val="2C6F2671"/>
    <w:rsid w:val="2C8BE53B"/>
    <w:rsid w:val="2D7E00DF"/>
    <w:rsid w:val="2DB754C2"/>
    <w:rsid w:val="2DEC3FCA"/>
    <w:rsid w:val="2DFC4BB1"/>
    <w:rsid w:val="2E4DC2B2"/>
    <w:rsid w:val="2E77C77B"/>
    <w:rsid w:val="2EBABEF5"/>
    <w:rsid w:val="2F08077D"/>
    <w:rsid w:val="2F1F6A06"/>
    <w:rsid w:val="30EC60AF"/>
    <w:rsid w:val="310C0E37"/>
    <w:rsid w:val="31315225"/>
    <w:rsid w:val="31C23B07"/>
    <w:rsid w:val="3239B486"/>
    <w:rsid w:val="32813B2B"/>
    <w:rsid w:val="32C834F0"/>
    <w:rsid w:val="33769C4D"/>
    <w:rsid w:val="34350F91"/>
    <w:rsid w:val="34D40A5F"/>
    <w:rsid w:val="34DB8968"/>
    <w:rsid w:val="35E50F26"/>
    <w:rsid w:val="36FA573B"/>
    <w:rsid w:val="37059DC5"/>
    <w:rsid w:val="370F287F"/>
    <w:rsid w:val="372F6A9D"/>
    <w:rsid w:val="373760A4"/>
    <w:rsid w:val="37F4508B"/>
    <w:rsid w:val="380D9A84"/>
    <w:rsid w:val="38925D63"/>
    <w:rsid w:val="38A7C71A"/>
    <w:rsid w:val="3BCE5EDB"/>
    <w:rsid w:val="3BE731CC"/>
    <w:rsid w:val="3C5C8E27"/>
    <w:rsid w:val="3CA26EA7"/>
    <w:rsid w:val="3D503D91"/>
    <w:rsid w:val="3D567303"/>
    <w:rsid w:val="3DA30AC0"/>
    <w:rsid w:val="3E301E6D"/>
    <w:rsid w:val="3E57E71D"/>
    <w:rsid w:val="3E7C2F0A"/>
    <w:rsid w:val="3ED8D4E8"/>
    <w:rsid w:val="3EE51D86"/>
    <w:rsid w:val="3F4DC949"/>
    <w:rsid w:val="3F92188A"/>
    <w:rsid w:val="3FDAAA41"/>
    <w:rsid w:val="405058FD"/>
    <w:rsid w:val="4074A549"/>
    <w:rsid w:val="408576D6"/>
    <w:rsid w:val="40CF3322"/>
    <w:rsid w:val="40E1CEBF"/>
    <w:rsid w:val="41127DB2"/>
    <w:rsid w:val="415DB38C"/>
    <w:rsid w:val="41656E41"/>
    <w:rsid w:val="418870CF"/>
    <w:rsid w:val="41C25E9D"/>
    <w:rsid w:val="42172EA2"/>
    <w:rsid w:val="4295A325"/>
    <w:rsid w:val="42E5D6C5"/>
    <w:rsid w:val="431BD7CA"/>
    <w:rsid w:val="431F9103"/>
    <w:rsid w:val="43DD8F71"/>
    <w:rsid w:val="441282AF"/>
    <w:rsid w:val="448ACC7A"/>
    <w:rsid w:val="46699B8C"/>
    <w:rsid w:val="46E97673"/>
    <w:rsid w:val="46F5C3B4"/>
    <w:rsid w:val="473C6D92"/>
    <w:rsid w:val="473DCC43"/>
    <w:rsid w:val="4784FF2C"/>
    <w:rsid w:val="487CAD50"/>
    <w:rsid w:val="488AF915"/>
    <w:rsid w:val="4A334955"/>
    <w:rsid w:val="4B0099C3"/>
    <w:rsid w:val="4B3155C7"/>
    <w:rsid w:val="4BB3F94E"/>
    <w:rsid w:val="4BB9832D"/>
    <w:rsid w:val="4C0BF17C"/>
    <w:rsid w:val="4C220344"/>
    <w:rsid w:val="4C28B046"/>
    <w:rsid w:val="4C38EEFE"/>
    <w:rsid w:val="4C958C22"/>
    <w:rsid w:val="4CDB007D"/>
    <w:rsid w:val="4D651B32"/>
    <w:rsid w:val="4E4772DF"/>
    <w:rsid w:val="4EADC65E"/>
    <w:rsid w:val="4F274E47"/>
    <w:rsid w:val="4F5FB990"/>
    <w:rsid w:val="4F996042"/>
    <w:rsid w:val="4FC13C78"/>
    <w:rsid w:val="50070EB5"/>
    <w:rsid w:val="50463228"/>
    <w:rsid w:val="51573C78"/>
    <w:rsid w:val="519FD8B9"/>
    <w:rsid w:val="51FCC915"/>
    <w:rsid w:val="521C5A8B"/>
    <w:rsid w:val="5220090C"/>
    <w:rsid w:val="527484A0"/>
    <w:rsid w:val="52F38065"/>
    <w:rsid w:val="53ACC8AA"/>
    <w:rsid w:val="53C82224"/>
    <w:rsid w:val="54004868"/>
    <w:rsid w:val="5438A2C3"/>
    <w:rsid w:val="543E713D"/>
    <w:rsid w:val="54755F1B"/>
    <w:rsid w:val="548D25B7"/>
    <w:rsid w:val="549D646F"/>
    <w:rsid w:val="54F716D9"/>
    <w:rsid w:val="5583C792"/>
    <w:rsid w:val="558BCA8D"/>
    <w:rsid w:val="55E592C0"/>
    <w:rsid w:val="5679759D"/>
    <w:rsid w:val="56B444BC"/>
    <w:rsid w:val="56B461E5"/>
    <w:rsid w:val="56C0C4CE"/>
    <w:rsid w:val="56EB8CA9"/>
    <w:rsid w:val="5761AE2A"/>
    <w:rsid w:val="5833EDCB"/>
    <w:rsid w:val="5848F1E0"/>
    <w:rsid w:val="59073F1F"/>
    <w:rsid w:val="5934C19C"/>
    <w:rsid w:val="59645580"/>
    <w:rsid w:val="59BAC4AF"/>
    <w:rsid w:val="5A296047"/>
    <w:rsid w:val="5A5068A1"/>
    <w:rsid w:val="5A657948"/>
    <w:rsid w:val="5A7320AE"/>
    <w:rsid w:val="5AA2D312"/>
    <w:rsid w:val="5ABE5A0F"/>
    <w:rsid w:val="5B481CC0"/>
    <w:rsid w:val="5B64A8B9"/>
    <w:rsid w:val="5B6FEF43"/>
    <w:rsid w:val="5C35105D"/>
    <w:rsid w:val="5C7851A4"/>
    <w:rsid w:val="5D5C3F29"/>
    <w:rsid w:val="5D6977D2"/>
    <w:rsid w:val="5DBB92FF"/>
    <w:rsid w:val="5E94B6FF"/>
    <w:rsid w:val="5F2074E2"/>
    <w:rsid w:val="5FACF276"/>
    <w:rsid w:val="60017E49"/>
    <w:rsid w:val="6021DC3F"/>
    <w:rsid w:val="603BD882"/>
    <w:rsid w:val="60B05CA9"/>
    <w:rsid w:val="616BBD64"/>
    <w:rsid w:val="61FDB5F9"/>
    <w:rsid w:val="62DB0576"/>
    <w:rsid w:val="62F5A6D1"/>
    <w:rsid w:val="6360A03E"/>
    <w:rsid w:val="638D9DC0"/>
    <w:rsid w:val="639C20A8"/>
    <w:rsid w:val="63C28C70"/>
    <w:rsid w:val="63DBA062"/>
    <w:rsid w:val="642786A3"/>
    <w:rsid w:val="6444B613"/>
    <w:rsid w:val="64DFBC6D"/>
    <w:rsid w:val="65313811"/>
    <w:rsid w:val="653C79F8"/>
    <w:rsid w:val="65BC7E21"/>
    <w:rsid w:val="65E13305"/>
    <w:rsid w:val="665A35A7"/>
    <w:rsid w:val="667B0703"/>
    <w:rsid w:val="6684DB1A"/>
    <w:rsid w:val="66FE576F"/>
    <w:rsid w:val="674813BB"/>
    <w:rsid w:val="67CD096B"/>
    <w:rsid w:val="6829C6F6"/>
    <w:rsid w:val="68A90A65"/>
    <w:rsid w:val="697D48E5"/>
    <w:rsid w:val="6982EDBB"/>
    <w:rsid w:val="69AB72DB"/>
    <w:rsid w:val="69C498C1"/>
    <w:rsid w:val="6AE80384"/>
    <w:rsid w:val="6AE8BF49"/>
    <w:rsid w:val="6B08D812"/>
    <w:rsid w:val="6B54901B"/>
    <w:rsid w:val="6BB7A8B9"/>
    <w:rsid w:val="6C0E0B92"/>
    <w:rsid w:val="6CC5F02C"/>
    <w:rsid w:val="6D7E9DDC"/>
    <w:rsid w:val="6DAF2B4B"/>
    <w:rsid w:val="6DEAABB5"/>
    <w:rsid w:val="6E50388C"/>
    <w:rsid w:val="6E9A2A4F"/>
    <w:rsid w:val="6F060F55"/>
    <w:rsid w:val="6F23656F"/>
    <w:rsid w:val="6F460E16"/>
    <w:rsid w:val="6F47B5E2"/>
    <w:rsid w:val="6F97B7E8"/>
    <w:rsid w:val="6FC48299"/>
    <w:rsid w:val="7007CA04"/>
    <w:rsid w:val="7029F7FE"/>
    <w:rsid w:val="705132FE"/>
    <w:rsid w:val="706AFC70"/>
    <w:rsid w:val="7099E18D"/>
    <w:rsid w:val="70B1F13B"/>
    <w:rsid w:val="70BF95D1"/>
    <w:rsid w:val="71175827"/>
    <w:rsid w:val="711AECCC"/>
    <w:rsid w:val="7134B63E"/>
    <w:rsid w:val="7169005E"/>
    <w:rsid w:val="71B907A5"/>
    <w:rsid w:val="71EE3154"/>
    <w:rsid w:val="71FBA2ED"/>
    <w:rsid w:val="723D189F"/>
    <w:rsid w:val="73034698"/>
    <w:rsid w:val="73538411"/>
    <w:rsid w:val="73623E6D"/>
    <w:rsid w:val="736D565B"/>
    <w:rsid w:val="73E2047B"/>
    <w:rsid w:val="74ED2963"/>
    <w:rsid w:val="752A32CC"/>
    <w:rsid w:val="75721F13"/>
    <w:rsid w:val="759357AA"/>
    <w:rsid w:val="7593D60B"/>
    <w:rsid w:val="75DFAE1A"/>
    <w:rsid w:val="75E6A33A"/>
    <w:rsid w:val="76C9B8B8"/>
    <w:rsid w:val="76FEDEB1"/>
    <w:rsid w:val="7771A7E6"/>
    <w:rsid w:val="77998024"/>
    <w:rsid w:val="77C27CF4"/>
    <w:rsid w:val="77C77522"/>
    <w:rsid w:val="781F6D50"/>
    <w:rsid w:val="7885E866"/>
    <w:rsid w:val="78DC71DA"/>
    <w:rsid w:val="791DDF55"/>
    <w:rsid w:val="79E14AC7"/>
    <w:rsid w:val="79E2D8DA"/>
    <w:rsid w:val="7AB48F4F"/>
    <w:rsid w:val="7AE94786"/>
    <w:rsid w:val="7AF41ED1"/>
    <w:rsid w:val="7B6647AA"/>
    <w:rsid w:val="7BE2674E"/>
    <w:rsid w:val="7C177994"/>
    <w:rsid w:val="7D0CDAB6"/>
    <w:rsid w:val="7D7AA2CB"/>
    <w:rsid w:val="7DDB59E1"/>
    <w:rsid w:val="7E0BA79A"/>
    <w:rsid w:val="7E61BE0B"/>
    <w:rsid w:val="7EA80907"/>
    <w:rsid w:val="7EC2054A"/>
    <w:rsid w:val="7F26B05B"/>
    <w:rsid w:val="7F967283"/>
    <w:rsid w:val="7FB530C5"/>
    <w:rsid w:val="7FC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D7135873-39F7-466E-BA5E-388C838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D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7239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447F86"/>
  </w:style>
  <w:style w:type="character" w:customStyle="1" w:styleId="pubyear">
    <w:name w:val="pubyear"/>
    <w:basedOn w:val="DefaultParagraphFont"/>
    <w:rsid w:val="00447F86"/>
  </w:style>
  <w:style w:type="character" w:customStyle="1" w:styleId="articletitle">
    <w:name w:val="articletitle"/>
    <w:basedOn w:val="DefaultParagraphFont"/>
    <w:rsid w:val="00447F86"/>
  </w:style>
  <w:style w:type="character" w:customStyle="1" w:styleId="vol">
    <w:name w:val="vol"/>
    <w:basedOn w:val="DefaultParagraphFont"/>
    <w:rsid w:val="00447F86"/>
  </w:style>
  <w:style w:type="character" w:customStyle="1" w:styleId="pagefirst">
    <w:name w:val="pagefirst"/>
    <w:basedOn w:val="DefaultParagraphFont"/>
    <w:rsid w:val="00447F86"/>
  </w:style>
  <w:style w:type="character" w:customStyle="1" w:styleId="pagelast">
    <w:name w:val="pagelast"/>
    <w:basedOn w:val="DefaultParagraphFont"/>
    <w:rsid w:val="00447F86"/>
  </w:style>
  <w:style w:type="character" w:styleId="Emphasis">
    <w:name w:val="Emphasis"/>
    <w:basedOn w:val="DefaultParagraphFont"/>
    <w:uiPriority w:val="20"/>
    <w:qFormat/>
    <w:rsid w:val="00A6408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A81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BF2"/>
  </w:style>
  <w:style w:type="paragraph" w:styleId="Footer">
    <w:name w:val="footer"/>
    <w:basedOn w:val="Normal"/>
    <w:link w:val="FooterChar"/>
    <w:uiPriority w:val="99"/>
    <w:semiHidden/>
    <w:unhideWhenUsed/>
    <w:rsid w:val="00A81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BF2"/>
  </w:style>
  <w:style w:type="character" w:styleId="CommentReference">
    <w:name w:val="annotation reference"/>
    <w:basedOn w:val="DefaultParagraphFont"/>
    <w:uiPriority w:val="99"/>
    <w:semiHidden/>
    <w:unhideWhenUsed/>
    <w:rsid w:val="00B57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7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7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7B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D75BA"/>
    <w:rPr>
      <w:color w:val="2B579A"/>
      <w:shd w:val="clear" w:color="auto" w:fill="E1DFDD"/>
    </w:rPr>
  </w:style>
  <w:style w:type="character" w:customStyle="1" w:styleId="ms-submitted-date">
    <w:name w:val="ms-submitted-date"/>
    <w:basedOn w:val="DefaultParagraphFont"/>
    <w:rsid w:val="003D1E2B"/>
  </w:style>
  <w:style w:type="character" w:customStyle="1" w:styleId="doi">
    <w:name w:val="doi"/>
    <w:basedOn w:val="DefaultParagraphFont"/>
    <w:rsid w:val="003D1E2B"/>
  </w:style>
  <w:style w:type="character" w:customStyle="1" w:styleId="Heading1Char">
    <w:name w:val="Heading 1 Char"/>
    <w:basedOn w:val="DefaultParagraphFont"/>
    <w:link w:val="Heading1"/>
    <w:uiPriority w:val="9"/>
    <w:rsid w:val="00547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81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9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data/datasets/2018/econ/cbp/2018-cbp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dar.12304" TargetMode="External"/><Relationship Id="rId3" Type="http://schemas.openxmlformats.org/officeDocument/2006/relationships/hyperlink" Target="https://doi.org/10.1111/add.12762" TargetMode="External"/><Relationship Id="rId7" Type="http://schemas.openxmlformats.org/officeDocument/2006/relationships/hyperlink" Target="https://www.cdc.gov/alcohol/pdfs/CDC-Guide-for-Measuring-Alcohol-Outlet-Density.pdf" TargetMode="External"/><Relationship Id="rId2" Type="http://schemas.openxmlformats.org/officeDocument/2006/relationships/hyperlink" Target="https://www.sciencedirect.com/science/article/pii/S1353829219313917" TargetMode="External"/><Relationship Id="rId1" Type="http://schemas.openxmlformats.org/officeDocument/2006/relationships/hyperlink" Target="https://www.ncbi.nlm.nih.gov/pmc/articles/PMC6761895/" TargetMode="External"/><Relationship Id="rId6" Type="http://schemas.openxmlformats.org/officeDocument/2006/relationships/hyperlink" Target="https://www.thecommunityguide.org/topic/excessive-alcohol-consumption" TargetMode="External"/><Relationship Id="rId5" Type="http://schemas.openxmlformats.org/officeDocument/2006/relationships/hyperlink" Target="https://www.ncbi.nlm.nih.gov/pmc/articles/PMC7576518/" TargetMode="External"/><Relationship Id="rId4" Type="http://schemas.openxmlformats.org/officeDocument/2006/relationships/hyperlink" Target="https://doi.org/10.1371/journal.pone.0053461" TargetMode="External"/><Relationship Id="rId9" Type="http://schemas.openxmlformats.org/officeDocument/2006/relationships/hyperlink" Target="https://doi.org/10.1111/acer.14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C8263-FB16-3E43-91D2-C4DE55CB33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Links>
    <vt:vector size="108" baseType="variant">
      <vt:variant>
        <vt:i4>6094864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https://www.census.gov/data/datasets/2018/econ/cbp/2018-cbp.html</vt:lpwstr>
      </vt:variant>
      <vt:variant>
        <vt:lpwstr/>
      </vt:variant>
      <vt:variant>
        <vt:i4>3539068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https://doi.org/10.1111/acer.14387</vt:lpwstr>
      </vt:variant>
      <vt:variant>
        <vt:lpwstr/>
      </vt:variant>
      <vt:variant>
        <vt:i4>6225998</vt:i4>
      </vt:variant>
      <vt:variant>
        <vt:i4>51</vt:i4>
      </vt:variant>
      <vt:variant>
        <vt:i4>0</vt:i4>
      </vt:variant>
      <vt:variant>
        <vt:i4>5</vt:i4>
      </vt:variant>
      <vt:variant>
        <vt:lpwstr>https://doi.org/10.1111/dar.12304</vt:lpwstr>
      </vt:variant>
      <vt:variant>
        <vt:lpwstr/>
      </vt:variant>
      <vt:variant>
        <vt:i4>6488120</vt:i4>
      </vt:variant>
      <vt:variant>
        <vt:i4>48</vt:i4>
      </vt:variant>
      <vt:variant>
        <vt:i4>0</vt:i4>
      </vt:variant>
      <vt:variant>
        <vt:i4>5</vt:i4>
      </vt:variant>
      <vt:variant>
        <vt:lpwstr>https://www.cdc.gov/alcohol/pdfs/CDC-Guide-for-Measuring-Alcohol-Outlet-Density.pdf</vt:lpwstr>
      </vt:variant>
      <vt:variant>
        <vt:lpwstr/>
      </vt:variant>
      <vt:variant>
        <vt:i4>1966163</vt:i4>
      </vt:variant>
      <vt:variant>
        <vt:i4>39</vt:i4>
      </vt:variant>
      <vt:variant>
        <vt:i4>0</vt:i4>
      </vt:variant>
      <vt:variant>
        <vt:i4>5</vt:i4>
      </vt:variant>
      <vt:variant>
        <vt:lpwstr>https://www.thecommunityguide.org/topic/excessive-alcohol-consumption</vt:lpwstr>
      </vt:variant>
      <vt:variant>
        <vt:lpwstr/>
      </vt:variant>
      <vt:variant>
        <vt:i4>1638464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https://www.ncbi.nlm.nih.gov/pmc/articles/PMC7576518/</vt:lpwstr>
      </vt:variant>
      <vt:variant>
        <vt:lpwstr/>
      </vt:variant>
      <vt:variant>
        <vt:i4>4980800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https://doi.org/10.1371/journal.pone.0053461</vt:lpwstr>
      </vt:variant>
      <vt:variant>
        <vt:lpwstr/>
      </vt:variant>
      <vt:variant>
        <vt:i4>6029401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https://doi.org/10.1111/add.12762</vt:lpwstr>
      </vt:variant>
      <vt:variant>
        <vt:lpwstr/>
      </vt:variant>
      <vt:variant>
        <vt:i4>6750334</vt:i4>
      </vt:variant>
      <vt:variant>
        <vt:i4>9</vt:i4>
      </vt:variant>
      <vt:variant>
        <vt:i4>0</vt:i4>
      </vt:variant>
      <vt:variant>
        <vt:i4>5</vt:i4>
      </vt:variant>
      <vt:variant>
        <vt:lpwstr>https://www.sciencedirect.com/science/article/pii/S1353829219313917</vt:lpwstr>
      </vt:variant>
      <vt:variant>
        <vt:lpwstr/>
      </vt:variant>
      <vt:variant>
        <vt:i4>1638477</vt:i4>
      </vt:variant>
      <vt:variant>
        <vt:i4>6</vt:i4>
      </vt:variant>
      <vt:variant>
        <vt:i4>0</vt:i4>
      </vt:variant>
      <vt:variant>
        <vt:i4>5</vt:i4>
      </vt:variant>
      <vt:variant>
        <vt:lpwstr>https://www.ncbi.nlm.nih.gov/pmc/articles/PMC6761895/</vt:lpwstr>
      </vt:variant>
      <vt:variant>
        <vt:lpwstr/>
      </vt:variant>
      <vt:variant>
        <vt:i4>589877</vt:i4>
      </vt:variant>
      <vt:variant>
        <vt:i4>21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1507372</vt:i4>
      </vt:variant>
      <vt:variant>
        <vt:i4>18</vt:i4>
      </vt:variant>
      <vt:variant>
        <vt:i4>0</vt:i4>
      </vt:variant>
      <vt:variant>
        <vt:i4>5</vt:i4>
      </vt:variant>
      <vt:variant>
        <vt:lpwstr>mailto:epantalone@mitre.org</vt:lpwstr>
      </vt:variant>
      <vt:variant>
        <vt:lpwstr/>
      </vt:variant>
      <vt:variant>
        <vt:i4>1048640</vt:i4>
      </vt:variant>
      <vt:variant>
        <vt:i4>15</vt:i4>
      </vt:variant>
      <vt:variant>
        <vt:i4>0</vt:i4>
      </vt:variant>
      <vt:variant>
        <vt:i4>5</vt:i4>
      </vt:variant>
      <vt:variant>
        <vt:lpwstr>https://www.ncbi.nlm.nih.gov/pmc/articles/PMC7745502/</vt:lpwstr>
      </vt:variant>
      <vt:variant>
        <vt:lpwstr/>
      </vt:variant>
      <vt:variant>
        <vt:i4>589877</vt:i4>
      </vt:variant>
      <vt:variant>
        <vt:i4>12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589877</vt:i4>
      </vt:variant>
      <vt:variant>
        <vt:i4>9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1507372</vt:i4>
      </vt:variant>
      <vt:variant>
        <vt:i4>6</vt:i4>
      </vt:variant>
      <vt:variant>
        <vt:i4>0</vt:i4>
      </vt:variant>
      <vt:variant>
        <vt:i4>5</vt:i4>
      </vt:variant>
      <vt:variant>
        <vt:lpwstr>mailto:epantalone@mitre.org</vt:lpwstr>
      </vt:variant>
      <vt:variant>
        <vt:lpwstr/>
      </vt:variant>
      <vt:variant>
        <vt:i4>1048640</vt:i4>
      </vt:variant>
      <vt:variant>
        <vt:i4>3</vt:i4>
      </vt:variant>
      <vt:variant>
        <vt:i4>0</vt:i4>
      </vt:variant>
      <vt:variant>
        <vt:i4>5</vt:i4>
      </vt:variant>
      <vt:variant>
        <vt:lpwstr>https://www.ncbi.nlm.nih.gov/pmc/articles/PMC7745502/</vt:lpwstr>
      </vt:variant>
      <vt:variant>
        <vt:lpwstr/>
      </vt:variant>
      <vt:variant>
        <vt:i4>1441861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https://www.ncbi.nlm.nih.gov/pmc/articles/PMC4427246/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82</cp:revision>
  <dcterms:created xsi:type="dcterms:W3CDTF">2021-08-09T18:26:00Z</dcterms:created>
  <dcterms:modified xsi:type="dcterms:W3CDTF">2021-11-15T18:44:00Z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