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07DC57E9" w:rsidR="002B6F8E" w:rsidRDefault="002B6F8E">
      <w:r w:rsidRPr="00AE261C">
        <w:rPr>
          <w:b/>
          <w:bCs/>
        </w:rPr>
        <w:t>Name</w:t>
      </w:r>
      <w:r w:rsidR="00D44CAC">
        <w:t>:</w:t>
      </w:r>
      <w:r w:rsidR="002F233B">
        <w:t xml:space="preserve"> </w:t>
      </w:r>
      <w:r w:rsidR="00BE7E58">
        <w:t>Below</w:t>
      </w:r>
      <w:r w:rsidR="007E7919">
        <w:t xml:space="preserve"> </w:t>
      </w:r>
      <w:r w:rsidR="008B2CD4">
        <w:t>1</w:t>
      </w:r>
      <w:r w:rsidR="008606F5">
        <w:t>00%</w:t>
      </w:r>
      <w:r w:rsidR="008B2CD4">
        <w:t xml:space="preserve"> </w:t>
      </w:r>
      <w:r w:rsidR="00BE7E58">
        <w:t>Federal Poverty Level</w:t>
      </w:r>
    </w:p>
    <w:p w14:paraId="0D41E867" w14:textId="77777777" w:rsidR="00AA5AB9" w:rsidRDefault="00AA5AB9"/>
    <w:p w14:paraId="100E41DE" w14:textId="2B2538F9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AD1609">
        <w:t xml:space="preserve"> </w:t>
      </w:r>
      <w:r w:rsidR="00CA7463" w:rsidRPr="00CA7463">
        <w:t xml:space="preserve">Fraction of individuals </w:t>
      </w:r>
      <w:r w:rsidR="00CA7463" w:rsidRPr="00437A6F">
        <w:t>below</w:t>
      </w:r>
      <w:r w:rsidR="003C5BDE" w:rsidRPr="00437A6F">
        <w:t xml:space="preserve"> </w:t>
      </w:r>
      <w:r w:rsidR="004539DE" w:rsidRPr="00437A6F">
        <w:t>1</w:t>
      </w:r>
      <w:r w:rsidR="003C5BDE" w:rsidRPr="00437A6F">
        <w:t>00% of the</w:t>
      </w:r>
      <w:r w:rsidR="003C5BDE">
        <w:t xml:space="preserve"> federal</w:t>
      </w:r>
      <w:r w:rsidR="00CA7463" w:rsidRPr="00CA7463">
        <w:t xml:space="preserve"> poverty level.</w:t>
      </w:r>
    </w:p>
    <w:p w14:paraId="285F7F9C" w14:textId="72AF4EE6" w:rsidR="002B6F8E" w:rsidRDefault="002B6F8E"/>
    <w:p w14:paraId="4A72B57B" w14:textId="022CED0D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D44CAC">
        <w:t>:</w:t>
      </w:r>
    </w:p>
    <w:p w14:paraId="01CD149B" w14:textId="2B37F947" w:rsidR="002B6F8E" w:rsidRDefault="00AA5AB9" w:rsidP="00207772">
      <w:pPr>
        <w:pStyle w:val="ListParagraph"/>
        <w:numPr>
          <w:ilvl w:val="0"/>
          <w:numId w:val="16"/>
        </w:numPr>
      </w:pPr>
      <w:r w:rsidRPr="007462DF">
        <w:rPr>
          <w:u w:val="single"/>
        </w:rPr>
        <w:t>Name</w:t>
      </w:r>
      <w:r>
        <w:t>:</w:t>
      </w:r>
      <w:r w:rsidR="00811560">
        <w:t xml:space="preserve"> </w:t>
      </w:r>
      <w:r w:rsidR="007150E1">
        <w:t>United States Census Bureau, American Community Survey</w:t>
      </w:r>
      <w:r w:rsidR="00424C26">
        <w:t xml:space="preserve"> (ACS)</w:t>
      </w:r>
    </w:p>
    <w:p w14:paraId="7C3A5475" w14:textId="758D5B97" w:rsidR="00433CEA" w:rsidRPr="0044317E" w:rsidRDefault="00AA5AB9" w:rsidP="00D44CA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7462DF">
        <w:rPr>
          <w:u w:val="single"/>
        </w:rPr>
        <w:t>Link to Source</w:t>
      </w:r>
      <w:r>
        <w:t>:</w:t>
      </w:r>
      <w:r w:rsidR="0020509B">
        <w:t xml:space="preserve"> </w:t>
      </w:r>
      <w:hyperlink r:id="rId11" w:history="1">
        <w:r w:rsidR="0020509B" w:rsidRPr="005133A3">
          <w:rPr>
            <w:rStyle w:val="Hyperlink"/>
          </w:rPr>
          <w:t>https://www.census.gov/programs-surveys/acs/data.html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3A80E895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153127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884D16">
        <w:t>2019 5-year estimates</w:t>
      </w:r>
    </w:p>
    <w:p w14:paraId="169D6C46" w14:textId="2812697E" w:rsidR="002B6F8E" w:rsidRDefault="002B6F8E"/>
    <w:p w14:paraId="3A134C16" w14:textId="27C9E305" w:rsidR="00DA16C3" w:rsidRDefault="00713780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>:</w:t>
      </w:r>
      <w:r w:rsidR="00C63158">
        <w:t xml:space="preserve"> </w:t>
      </w:r>
      <w:r w:rsidR="005B75B1">
        <w:t>Zip Code Tabulation Area (</w:t>
      </w:r>
      <w:r w:rsidR="00C63158">
        <w:t>ZCTA</w:t>
      </w:r>
      <w:r w:rsidR="005B75B1">
        <w:t>)</w:t>
      </w:r>
    </w:p>
    <w:p w14:paraId="17DDA767" w14:textId="77777777" w:rsidR="00C63158" w:rsidRDefault="00C63158">
      <w:pPr>
        <w:rPr>
          <w:b/>
          <w:bCs/>
        </w:rPr>
      </w:pPr>
    </w:p>
    <w:p w14:paraId="41EE929A" w14:textId="168A7404" w:rsidR="00302737" w:rsidRDefault="003D1192" w:rsidP="002410A7">
      <w:r>
        <w:rPr>
          <w:b/>
          <w:bCs/>
        </w:rPr>
        <w:t>Stratifi</w:t>
      </w:r>
      <w:r w:rsidR="00424C26">
        <w:rPr>
          <w:b/>
          <w:bCs/>
        </w:rPr>
        <w:t>cation</w:t>
      </w:r>
      <w:r w:rsidR="00F8197B">
        <w:t>:</w:t>
      </w:r>
      <w:r w:rsidR="00424C26">
        <w:t xml:space="preserve"> Black</w:t>
      </w:r>
      <w:r w:rsidR="00713780">
        <w:t xml:space="preserve"> </w:t>
      </w:r>
      <w:r w:rsidR="004F087F">
        <w:t>p</w:t>
      </w:r>
      <w:r w:rsidR="00713780">
        <w:t>opulation</w:t>
      </w:r>
      <w:r w:rsidR="00424C26">
        <w:t xml:space="preserve"> </w:t>
      </w:r>
    </w:p>
    <w:p w14:paraId="76226322" w14:textId="3B492108" w:rsidR="002B6F8E" w:rsidRDefault="002B6F8E"/>
    <w:p w14:paraId="16D5E02B" w14:textId="4E076C31" w:rsidR="00DB427B" w:rsidRPr="00DB427B" w:rsidRDefault="0070276E" w:rsidP="00DB427B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</w:p>
    <w:p w14:paraId="4F7874F1" w14:textId="56D58297" w:rsidR="00AA30DA" w:rsidRDefault="000C4FEE" w:rsidP="00DB427B">
      <w:r>
        <w:t>T</w:t>
      </w:r>
      <w:r w:rsidR="006E2780">
        <w:t xml:space="preserve">his measure </w:t>
      </w:r>
      <w:r w:rsidR="00DB4829">
        <w:t>captures</w:t>
      </w:r>
      <w:r w:rsidR="00DD15F7">
        <w:t xml:space="preserve"> the income element</w:t>
      </w:r>
      <w:r w:rsidR="006E2780">
        <w:t xml:space="preserve"> </w:t>
      </w:r>
      <w:r w:rsidR="001236AD">
        <w:t xml:space="preserve">of </w:t>
      </w:r>
      <w:r w:rsidR="006E2780">
        <w:t>socioeconomic status, one of the main drivers of population health disparities</w:t>
      </w:r>
      <w:r w:rsidR="00DB4829">
        <w:t xml:space="preserve"> and </w:t>
      </w:r>
      <w:r w:rsidR="006E2780">
        <w:t xml:space="preserve">one of the most common </w:t>
      </w:r>
      <w:r w:rsidR="00424C26">
        <w:t>social determinants of health</w:t>
      </w:r>
      <w:r w:rsidR="006E2780">
        <w:t xml:space="preserve">. </w:t>
      </w:r>
      <w:r w:rsidR="001D40DC">
        <w:t>People</w:t>
      </w:r>
      <w:r w:rsidR="005D7601">
        <w:t xml:space="preserve"> with lower incomes may experience higher incidence of mental health and substance use disorders due to </w:t>
      </w:r>
      <w:r w:rsidR="00402B6B">
        <w:t xml:space="preserve">stress, and people with mental illnesses and substance use disorders may </w:t>
      </w:r>
      <w:r w:rsidR="00527C80">
        <w:t xml:space="preserve">also </w:t>
      </w:r>
      <w:r w:rsidR="00402B6B">
        <w:t xml:space="preserve">experience greater </w:t>
      </w:r>
      <w:r w:rsidR="007362DF">
        <w:t>socioeconomic disadvantage.</w:t>
      </w:r>
    </w:p>
    <w:p w14:paraId="7EAF00AC" w14:textId="77777777" w:rsidR="006E2780" w:rsidRPr="00DB427B" w:rsidRDefault="006E2780" w:rsidP="00DB427B"/>
    <w:p w14:paraId="2E2A9408" w14:textId="0DCE7570" w:rsidR="00401DFA" w:rsidRPr="00B21683" w:rsidRDefault="00401DFA" w:rsidP="00401DFA">
      <w:r>
        <w:rPr>
          <w:b/>
          <w:bCs/>
        </w:rPr>
        <w:t>Strengths and Limitations</w:t>
      </w:r>
      <w:r>
        <w:t xml:space="preserve">: </w:t>
      </w:r>
    </w:p>
    <w:p w14:paraId="76F42C1A" w14:textId="77777777" w:rsidR="007362DF" w:rsidRDefault="00401DFA" w:rsidP="007362DF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2B237F8E" w14:textId="07EC2087" w:rsidR="00023FC2" w:rsidRDefault="00023FC2" w:rsidP="00BF6CB6">
      <w:pPr>
        <w:pStyle w:val="ListParagraph"/>
        <w:numPr>
          <w:ilvl w:val="1"/>
          <w:numId w:val="14"/>
        </w:numPr>
      </w:pPr>
      <w:r>
        <w:t>[</w:t>
      </w:r>
      <w:r w:rsidRPr="0047518C">
        <w:rPr>
          <w:i/>
          <w:iCs/>
        </w:rPr>
        <w:t>Importance</w:t>
      </w:r>
      <w:r w:rsidR="00B848B2">
        <w:t xml:space="preserve">] </w:t>
      </w:r>
      <w:r w:rsidR="00011020">
        <w:t>Income level is an important social determinant of health.</w:t>
      </w:r>
      <w:r w:rsidR="00156C33">
        <w:t xml:space="preserve">  Having lower levels of income is associated with</w:t>
      </w:r>
      <w:r w:rsidR="00CE7C92">
        <w:t xml:space="preserve"> increased odds of </w:t>
      </w:r>
      <w:r w:rsidR="00A43B35">
        <w:t xml:space="preserve">mood disorders, </w:t>
      </w:r>
      <w:r w:rsidR="0013071B">
        <w:t xml:space="preserve">substance use disorders, and suicide </w:t>
      </w:r>
      <w:r w:rsidR="003E748A">
        <w:t>attempts</w:t>
      </w:r>
      <w:r w:rsidR="0013071B">
        <w:t>.</w:t>
      </w:r>
      <w:r w:rsidR="00B01EBF">
        <w:rPr>
          <w:rStyle w:val="FootnoteReference"/>
        </w:rPr>
        <w:footnoteReference w:id="2"/>
      </w:r>
      <w:r w:rsidR="00156C33">
        <w:t xml:space="preserve"> </w:t>
      </w:r>
      <w:r w:rsidR="007362DF" w:rsidRPr="00B46D61">
        <w:t>Adults living below the federal poverty level report mental distress 70% more often than do adults in higher income households.</w:t>
      </w:r>
      <w:r w:rsidR="007362DF">
        <w:rPr>
          <w:rStyle w:val="FootnoteReference"/>
        </w:rPr>
        <w:footnoteReference w:id="3"/>
      </w:r>
      <w:r w:rsidR="009A2E19">
        <w:t xml:space="preserve"> </w:t>
      </w:r>
      <w:r w:rsidR="00C01AB6">
        <w:t xml:space="preserve"> Conversely, </w:t>
      </w:r>
      <w:r w:rsidR="0047518C">
        <w:t>p</w:t>
      </w:r>
      <w:r w:rsidR="009A2E19" w:rsidRPr="009A2E19">
        <w:t>eople with mental illness experience greater socioeconomic disadvantage</w:t>
      </w:r>
      <w:r w:rsidR="00317247">
        <w:t xml:space="preserve"> in terms of the</w:t>
      </w:r>
      <w:r w:rsidR="00317247" w:rsidRPr="00317247">
        <w:t xml:space="preserve"> rate, depth, and severity</w:t>
      </w:r>
      <w:r w:rsidR="004F59F0">
        <w:t xml:space="preserve"> of poverty.</w:t>
      </w:r>
      <w:r w:rsidR="005A3F6E">
        <w:rPr>
          <w:rStyle w:val="FootnoteReference"/>
        </w:rPr>
        <w:footnoteReference w:id="4"/>
      </w:r>
    </w:p>
    <w:p w14:paraId="6BD956BD" w14:textId="255236DA" w:rsidR="005C67CF" w:rsidRPr="00F96038" w:rsidRDefault="005C67CF" w:rsidP="005C67CF">
      <w:pPr>
        <w:pStyle w:val="ListParagraph"/>
        <w:numPr>
          <w:ilvl w:val="1"/>
          <w:numId w:val="14"/>
        </w:numPr>
        <w:rPr>
          <w:i/>
          <w:iCs/>
        </w:rPr>
      </w:pPr>
      <w:r w:rsidRPr="00E96582">
        <w:rPr>
          <w:i/>
          <w:iCs/>
        </w:rPr>
        <w:t xml:space="preserve">[Feasibility] </w:t>
      </w:r>
      <w:r w:rsidRPr="00350CD5">
        <w:t>This measure</w:t>
      </w:r>
      <w:r w:rsidRPr="00C935FD">
        <w:t xml:space="preserve"> is readily available through the </w:t>
      </w:r>
      <w:r w:rsidR="000C47D5">
        <w:t>ACS</w:t>
      </w:r>
      <w:r>
        <w:t>, an ongoing survey that provides data in the year immediately following the year in which they are collected.</w:t>
      </w:r>
      <w:r w:rsidRPr="00DB0A3E">
        <w:t xml:space="preserve"> </w:t>
      </w:r>
    </w:p>
    <w:p w14:paraId="60C5D0E8" w14:textId="2DF3E90B" w:rsidR="00F96038" w:rsidRDefault="00F96038" w:rsidP="00F96038">
      <w:pPr>
        <w:pStyle w:val="ListParagraph"/>
        <w:numPr>
          <w:ilvl w:val="1"/>
          <w:numId w:val="14"/>
        </w:numPr>
      </w:pPr>
      <w:r w:rsidRPr="00C46845">
        <w:rPr>
          <w:i/>
          <w:iCs/>
        </w:rPr>
        <w:lastRenderedPageBreak/>
        <w:t>[Scientific Soundness]</w:t>
      </w:r>
      <w:r>
        <w:t xml:space="preserve"> </w:t>
      </w:r>
      <w:r w:rsidRPr="00357F09">
        <w:t>ACS data</w:t>
      </w:r>
      <w:r>
        <w:t xml:space="preserve"> provides valid and reliable estimates. </w:t>
      </w:r>
      <w:r w:rsidRPr="005A6133">
        <w:t>This measure calculation is advantageous in that is both simple to calculate and simple to communicate.</w:t>
      </w:r>
    </w:p>
    <w:p w14:paraId="1C1BCD1C" w14:textId="77777777" w:rsidR="00401DFA" w:rsidRPr="00B21683" w:rsidRDefault="00401DFA" w:rsidP="00401DFA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0DAE52D8" w14:textId="24011FDA" w:rsidR="003837BB" w:rsidRDefault="003837BB" w:rsidP="00401DFA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 xml:space="preserve">] </w:t>
      </w:r>
      <w:r w:rsidR="00B74BAD">
        <w:rPr>
          <w:bCs/>
        </w:rPr>
        <w:t xml:space="preserve">This measure does not contain information about </w:t>
      </w:r>
      <w:r w:rsidR="005C1F18">
        <w:rPr>
          <w:bCs/>
        </w:rPr>
        <w:t>age</w:t>
      </w:r>
      <w:r w:rsidR="00B42E02">
        <w:rPr>
          <w:bCs/>
        </w:rPr>
        <w:t xml:space="preserve">, which may impact </w:t>
      </w:r>
      <w:r w:rsidR="005B70E5">
        <w:rPr>
          <w:bCs/>
        </w:rPr>
        <w:t>incidence</w:t>
      </w:r>
      <w:r w:rsidR="00B42E02">
        <w:rPr>
          <w:bCs/>
        </w:rPr>
        <w:t xml:space="preserve"> of</w:t>
      </w:r>
      <w:r w:rsidR="0025234F">
        <w:rPr>
          <w:bCs/>
        </w:rPr>
        <w:t xml:space="preserve"> serious</w:t>
      </w:r>
      <w:r w:rsidR="00B42E02">
        <w:rPr>
          <w:bCs/>
        </w:rPr>
        <w:t xml:space="preserve"> </w:t>
      </w:r>
      <w:r w:rsidR="009C323C">
        <w:rPr>
          <w:bCs/>
        </w:rPr>
        <w:t>mental illness</w:t>
      </w:r>
      <w:r w:rsidR="006C7D41">
        <w:rPr>
          <w:bCs/>
        </w:rPr>
        <w:t>. F</w:t>
      </w:r>
      <w:r w:rsidR="009C323C">
        <w:rPr>
          <w:bCs/>
        </w:rPr>
        <w:t>or example</w:t>
      </w:r>
      <w:r w:rsidR="006C7D41">
        <w:rPr>
          <w:bCs/>
        </w:rPr>
        <w:t>,</w:t>
      </w:r>
      <w:r w:rsidR="00E5225B">
        <w:rPr>
          <w:bCs/>
        </w:rPr>
        <w:t xml:space="preserve"> </w:t>
      </w:r>
      <w:r w:rsidR="005B518E">
        <w:rPr>
          <w:bCs/>
        </w:rPr>
        <w:t xml:space="preserve">data from SAMHSA shows that </w:t>
      </w:r>
      <w:r w:rsidR="00E5225B">
        <w:rPr>
          <w:bCs/>
        </w:rPr>
        <w:t xml:space="preserve">the relationship between poverty and serious mental illness may differ </w:t>
      </w:r>
      <w:r w:rsidR="005B518E">
        <w:rPr>
          <w:bCs/>
        </w:rPr>
        <w:t>between adults aged 26 or older and young adults under age 26.</w:t>
      </w:r>
      <w:r w:rsidR="00E36986">
        <w:rPr>
          <w:rStyle w:val="FootnoteReference"/>
          <w:bCs/>
        </w:rPr>
        <w:footnoteReference w:id="5"/>
      </w:r>
      <w:r w:rsidR="00EA18EC">
        <w:rPr>
          <w:bCs/>
        </w:rPr>
        <w:t xml:space="preserve"> </w:t>
      </w:r>
    </w:p>
    <w:p w14:paraId="7340D68B" w14:textId="5A2FABC9" w:rsidR="004A274A" w:rsidRPr="00834D3D" w:rsidRDefault="004A274A" w:rsidP="00A9711C">
      <w:pPr>
        <w:pStyle w:val="ListParagraph"/>
        <w:numPr>
          <w:ilvl w:val="1"/>
          <w:numId w:val="14"/>
        </w:numPr>
        <w:rPr>
          <w:b/>
          <w:bCs/>
        </w:rPr>
      </w:pPr>
      <w:r w:rsidRPr="00A9711C">
        <w:rPr>
          <w:bCs/>
        </w:rPr>
        <w:t>[</w:t>
      </w:r>
      <w:r w:rsidRPr="00A9711C">
        <w:rPr>
          <w:bCs/>
          <w:i/>
          <w:iCs/>
        </w:rPr>
        <w:t>Equity</w:t>
      </w:r>
      <w:r w:rsidRPr="00A9711C">
        <w:rPr>
          <w:bCs/>
        </w:rPr>
        <w:t xml:space="preserve">] This measure only identifies those experiencing poverty based on the </w:t>
      </w:r>
      <w:r w:rsidR="00770E87" w:rsidRPr="00A9711C">
        <w:rPr>
          <w:bCs/>
        </w:rPr>
        <w:t>f</w:t>
      </w:r>
      <w:r w:rsidRPr="00A9711C">
        <w:rPr>
          <w:bCs/>
        </w:rPr>
        <w:t xml:space="preserve">ederal </w:t>
      </w:r>
      <w:r w:rsidR="00770E87" w:rsidRPr="00A9711C">
        <w:rPr>
          <w:bCs/>
        </w:rPr>
        <w:t>p</w:t>
      </w:r>
      <w:r w:rsidRPr="00A9711C">
        <w:rPr>
          <w:bCs/>
        </w:rPr>
        <w:t xml:space="preserve">overty </w:t>
      </w:r>
      <w:r w:rsidR="00770E87" w:rsidRPr="00A9711C">
        <w:rPr>
          <w:bCs/>
        </w:rPr>
        <w:t>l</w:t>
      </w:r>
      <w:r w:rsidRPr="00A9711C">
        <w:rPr>
          <w:bCs/>
        </w:rPr>
        <w:t>evel, which is defined based on family income and number of persons in household.</w:t>
      </w:r>
      <w:r>
        <w:rPr>
          <w:rStyle w:val="FootnoteReference"/>
          <w:bCs/>
        </w:rPr>
        <w:footnoteReference w:id="6"/>
      </w:r>
      <w:r w:rsidRPr="00A9711C">
        <w:rPr>
          <w:bCs/>
        </w:rPr>
        <w:t xml:space="preserve"> However, there are families with incomes above the federally defined poverty level that still experience financial insecurity, and people </w:t>
      </w:r>
      <w:r w:rsidRPr="00437A6F">
        <w:rPr>
          <w:bCs/>
        </w:rPr>
        <w:t xml:space="preserve">below </w:t>
      </w:r>
      <w:r w:rsidR="00894424" w:rsidRPr="00437A6F">
        <w:rPr>
          <w:bCs/>
        </w:rPr>
        <w:t>1</w:t>
      </w:r>
      <w:r w:rsidRPr="00437A6F">
        <w:rPr>
          <w:bCs/>
        </w:rPr>
        <w:t>00% of the</w:t>
      </w:r>
      <w:r w:rsidRPr="00A9711C">
        <w:rPr>
          <w:bCs/>
        </w:rPr>
        <w:t xml:space="preserve"> federal poverty level may still experience higher rates of poor mental health outcomes, like serious psychological distress, that is associated with their income level.</w:t>
      </w:r>
      <w:r>
        <w:rPr>
          <w:rStyle w:val="FootnoteReference"/>
          <w:bCs/>
        </w:rPr>
        <w:footnoteReference w:id="7"/>
      </w:r>
      <w:r w:rsidRPr="00A9711C">
        <w:rPr>
          <w:bCs/>
        </w:rPr>
        <w:t xml:space="preserve"> </w:t>
      </w:r>
      <w:r w:rsidR="007048E3">
        <w:rPr>
          <w:bCs/>
        </w:rPr>
        <w:t>1</w:t>
      </w:r>
      <w:r w:rsidR="00894424">
        <w:rPr>
          <w:bCs/>
        </w:rPr>
        <w:t>00</w:t>
      </w:r>
      <w:r w:rsidR="007048E3">
        <w:rPr>
          <w:bCs/>
        </w:rPr>
        <w:t xml:space="preserve">% of the </w:t>
      </w:r>
      <w:r w:rsidR="00195D67">
        <w:rPr>
          <w:bCs/>
        </w:rPr>
        <w:t>federal poverty level</w:t>
      </w:r>
      <w:r w:rsidR="007048E3">
        <w:rPr>
          <w:bCs/>
        </w:rPr>
        <w:t xml:space="preserve"> was selected because it is the highest </w:t>
      </w:r>
      <w:r w:rsidR="00D06090">
        <w:rPr>
          <w:bCs/>
        </w:rPr>
        <w:t>percentage that can be stratified for Black Americans.</w:t>
      </w:r>
    </w:p>
    <w:p w14:paraId="2082DE2F" w14:textId="77777777" w:rsidR="000D5C93" w:rsidRPr="00E15A06" w:rsidRDefault="000D5C93" w:rsidP="00437A6F">
      <w:pPr>
        <w:pStyle w:val="ListParagraph"/>
        <w:ind w:left="1440"/>
        <w:rPr>
          <w:b/>
          <w:bCs/>
        </w:rPr>
      </w:pPr>
    </w:p>
    <w:p w14:paraId="32F73A0A" w14:textId="77777777" w:rsidR="00DE6422" w:rsidRPr="005D6FFF" w:rsidRDefault="00523739" w:rsidP="00DE6422">
      <w:r w:rsidRPr="00DE6422">
        <w:rPr>
          <w:b/>
          <w:bCs/>
        </w:rPr>
        <w:t xml:space="preserve">Default </w:t>
      </w:r>
      <w:r w:rsidR="00EC670E" w:rsidRPr="00DE6422">
        <w:rPr>
          <w:b/>
          <w:bCs/>
        </w:rPr>
        <w:t>Weight</w:t>
      </w:r>
      <w:r w:rsidR="00FA2ED2" w:rsidRPr="00DE6422">
        <w:t>:</w:t>
      </w:r>
      <w:r w:rsidR="00EC670E" w:rsidRPr="00DE6422">
        <w:rPr>
          <w:b/>
          <w:bCs/>
        </w:rPr>
        <w:t xml:space="preserve"> </w:t>
      </w:r>
      <w:r w:rsidR="00DE6422" w:rsidRPr="00DE6422">
        <w:t xml:space="preserve">4.3% </w:t>
      </w:r>
      <w:r w:rsidR="00DE6422" w:rsidRPr="00DE6422">
        <w:rPr>
          <w:sz w:val="20"/>
          <w:szCs w:val="20"/>
        </w:rPr>
        <w:t>(</w:t>
      </w:r>
      <w:r w:rsidR="00DE6422" w:rsidRPr="00DE6422">
        <w:rPr>
          <w:i/>
          <w:iCs/>
          <w:sz w:val="20"/>
          <w:szCs w:val="20"/>
        </w:rPr>
        <w:t>see Weighting Documentation for details on how default weights were assigned</w:t>
      </w:r>
      <w:r w:rsidR="00DE6422" w:rsidRPr="00DE6422">
        <w:rPr>
          <w:sz w:val="20"/>
          <w:szCs w:val="20"/>
        </w:rPr>
        <w:t>)</w:t>
      </w:r>
    </w:p>
    <w:p w14:paraId="4E0AAE59" w14:textId="517A573E" w:rsidR="00FA2ED2" w:rsidRPr="00B35202" w:rsidRDefault="00FA2ED2" w:rsidP="00A16408">
      <w:pPr>
        <w:rPr>
          <w:b/>
          <w:bCs/>
          <w:highlight w:val="yellow"/>
        </w:rPr>
      </w:pPr>
    </w:p>
    <w:p w14:paraId="400BBB33" w14:textId="52FC88F6" w:rsidR="00A16408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3D1F311D" w14:textId="77777777" w:rsidR="00086494" w:rsidRPr="00FA2ED2" w:rsidRDefault="00086494" w:rsidP="00A16408"/>
    <w:p w14:paraId="714DAD36" w14:textId="5200D52F" w:rsidR="00585942" w:rsidRDefault="00713780" w:rsidP="00585942">
      <w:r w:rsidRPr="004F087F">
        <w:rPr>
          <w:i/>
          <w:iCs/>
          <w:u w:val="single"/>
        </w:rPr>
        <w:t>Overa</w:t>
      </w:r>
      <w:r w:rsidR="00585942" w:rsidRPr="004F087F">
        <w:rPr>
          <w:i/>
          <w:iCs/>
          <w:u w:val="single"/>
        </w:rPr>
        <w:t>ll Population Calculation</w:t>
      </w:r>
      <w:r w:rsidR="00585942">
        <w:t xml:space="preserve">: </w:t>
      </w:r>
    </w:p>
    <w:p w14:paraId="4BFAD612" w14:textId="77777777" w:rsidR="00585942" w:rsidRDefault="00585942" w:rsidP="00585942"/>
    <w:p w14:paraId="70F34847" w14:textId="1EFE7C68" w:rsidR="00585942" w:rsidRPr="00F55597" w:rsidRDefault="003B14AF" w:rsidP="00585942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Below 100% FPL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All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individuals with income in the past 12 months below poverty level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individuals for whom poverty status is determined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×100%</m:t>
          </m:r>
        </m:oMath>
      </m:oMathPara>
    </w:p>
    <w:p w14:paraId="4028C088" w14:textId="77777777" w:rsidR="00585942" w:rsidRDefault="00585942" w:rsidP="00585942"/>
    <w:p w14:paraId="766EFB3E" w14:textId="77777777" w:rsidR="00585942" w:rsidRPr="00B342CF" w:rsidRDefault="00585942" w:rsidP="00585942">
      <w:pPr>
        <w:rPr>
          <w:sz w:val="22"/>
          <w:szCs w:val="22"/>
        </w:rPr>
      </w:pPr>
      <w:r>
        <w:tab/>
      </w:r>
      <w:r w:rsidRPr="00B342CF">
        <w:rPr>
          <w:sz w:val="22"/>
          <w:szCs w:val="22"/>
        </w:rPr>
        <w:t xml:space="preserve">ACS tables and variables used: </w:t>
      </w:r>
    </w:p>
    <w:p w14:paraId="1AA97190" w14:textId="4B2059AA" w:rsidR="00585942" w:rsidRPr="00B342CF" w:rsidRDefault="00585942" w:rsidP="0058594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B342CF">
        <w:rPr>
          <w:sz w:val="22"/>
          <w:szCs w:val="22"/>
        </w:rPr>
        <w:t xml:space="preserve">Table </w:t>
      </w:r>
      <w:r w:rsidR="00C46A2C" w:rsidRPr="00B342CF">
        <w:rPr>
          <w:sz w:val="22"/>
          <w:szCs w:val="22"/>
        </w:rPr>
        <w:t>B17021</w:t>
      </w:r>
      <w:r w:rsidRPr="00B342CF">
        <w:rPr>
          <w:sz w:val="22"/>
          <w:szCs w:val="22"/>
        </w:rPr>
        <w:t xml:space="preserve">: </w:t>
      </w:r>
      <w:r w:rsidR="00C46A2C" w:rsidRPr="00B342CF">
        <w:rPr>
          <w:sz w:val="22"/>
          <w:szCs w:val="22"/>
        </w:rPr>
        <w:t>Poverty Status of Individuals in the Past 12 Months by Living Arrangement</w:t>
      </w:r>
      <w:r w:rsidRPr="00B342CF">
        <w:rPr>
          <w:sz w:val="22"/>
          <w:szCs w:val="22"/>
        </w:rPr>
        <w:t>:</w:t>
      </w:r>
    </w:p>
    <w:p w14:paraId="7176547C" w14:textId="33988F4B" w:rsidR="00585942" w:rsidRPr="00B342CF" w:rsidRDefault="00381B97" w:rsidP="00585942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00B342CF">
        <w:rPr>
          <w:sz w:val="22"/>
          <w:szCs w:val="22"/>
        </w:rPr>
        <w:t>B</w:t>
      </w:r>
      <w:r w:rsidR="000927B8" w:rsidRPr="00B342CF">
        <w:rPr>
          <w:sz w:val="22"/>
          <w:szCs w:val="22"/>
        </w:rPr>
        <w:t>17021_001</w:t>
      </w:r>
      <w:r w:rsidR="00585942" w:rsidRPr="00B342CF">
        <w:rPr>
          <w:sz w:val="22"/>
          <w:szCs w:val="22"/>
        </w:rPr>
        <w:t>: Estimate Total</w:t>
      </w:r>
    </w:p>
    <w:p w14:paraId="63941B92" w14:textId="4787C7CE" w:rsidR="00585942" w:rsidRPr="00B342CF" w:rsidRDefault="00F5555C" w:rsidP="00585942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00B342CF">
        <w:rPr>
          <w:sz w:val="22"/>
          <w:szCs w:val="22"/>
        </w:rPr>
        <w:t>B17021</w:t>
      </w:r>
      <w:r w:rsidR="00585942" w:rsidRPr="00B342CF">
        <w:rPr>
          <w:sz w:val="22"/>
          <w:szCs w:val="22"/>
        </w:rPr>
        <w:t xml:space="preserve">_002: Estimate Total </w:t>
      </w:r>
      <w:r w:rsidRPr="00B342CF">
        <w:rPr>
          <w:sz w:val="22"/>
          <w:szCs w:val="22"/>
        </w:rPr>
        <w:t>Income in the past 12 months below poverty level</w:t>
      </w:r>
    </w:p>
    <w:p w14:paraId="43F29A10" w14:textId="77777777" w:rsidR="00585942" w:rsidRDefault="00585942" w:rsidP="00585942"/>
    <w:p w14:paraId="4D0D327A" w14:textId="77777777" w:rsidR="00585942" w:rsidRDefault="00585942" w:rsidP="00585942">
      <w:r w:rsidRPr="004F087F">
        <w:rPr>
          <w:i/>
          <w:iCs/>
          <w:u w:val="single"/>
        </w:rPr>
        <w:t>Black Population Calculation</w:t>
      </w:r>
      <w:r>
        <w:t xml:space="preserve">: </w:t>
      </w:r>
    </w:p>
    <w:p w14:paraId="1C18FCC4" w14:textId="201AFE6D" w:rsidR="000B4F39" w:rsidRPr="00F55597" w:rsidRDefault="003B14AF" w:rsidP="000B4F39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Below 100% FPL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Black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Black families with income in the past 12 months below poverty level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families with a Black householder for whom poverty status is determined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×100%</m:t>
          </m:r>
        </m:oMath>
      </m:oMathPara>
    </w:p>
    <w:p w14:paraId="0E5643EC" w14:textId="059ABB88" w:rsidR="00585942" w:rsidRPr="0094701D" w:rsidRDefault="00585942" w:rsidP="00585942">
      <w:pPr>
        <w:rPr>
          <w:sz w:val="16"/>
          <w:szCs w:val="16"/>
        </w:rPr>
      </w:pPr>
    </w:p>
    <w:p w14:paraId="505D4A19" w14:textId="77777777" w:rsidR="00585942" w:rsidRPr="00B342CF" w:rsidRDefault="00585942" w:rsidP="00585942">
      <w:pPr>
        <w:ind w:left="720"/>
        <w:rPr>
          <w:sz w:val="22"/>
          <w:szCs w:val="22"/>
        </w:rPr>
      </w:pPr>
      <w:r w:rsidRPr="00B342CF">
        <w:rPr>
          <w:sz w:val="22"/>
          <w:szCs w:val="22"/>
        </w:rPr>
        <w:t xml:space="preserve">ACS tables and variables used: </w:t>
      </w:r>
    </w:p>
    <w:p w14:paraId="25F07095" w14:textId="161BBCDB" w:rsidR="00585942" w:rsidRPr="00B342CF" w:rsidRDefault="00585942" w:rsidP="00585942">
      <w:pPr>
        <w:pStyle w:val="ListParagraph"/>
        <w:numPr>
          <w:ilvl w:val="0"/>
          <w:numId w:val="7"/>
        </w:numPr>
        <w:ind w:left="1440"/>
        <w:rPr>
          <w:sz w:val="22"/>
          <w:szCs w:val="22"/>
        </w:rPr>
      </w:pPr>
      <w:r w:rsidRPr="00B342CF">
        <w:rPr>
          <w:sz w:val="22"/>
          <w:szCs w:val="22"/>
        </w:rPr>
        <w:lastRenderedPageBreak/>
        <w:t xml:space="preserve">Table </w:t>
      </w:r>
      <w:r w:rsidR="003311FE" w:rsidRPr="00B342CF">
        <w:rPr>
          <w:sz w:val="22"/>
          <w:szCs w:val="22"/>
        </w:rPr>
        <w:t>B17010B</w:t>
      </w:r>
      <w:r w:rsidRPr="00B342CF">
        <w:rPr>
          <w:sz w:val="22"/>
          <w:szCs w:val="22"/>
        </w:rPr>
        <w:t xml:space="preserve">: </w:t>
      </w:r>
      <w:r w:rsidR="00871913" w:rsidRPr="00B342CF">
        <w:rPr>
          <w:sz w:val="22"/>
          <w:szCs w:val="22"/>
        </w:rPr>
        <w:t xml:space="preserve">Poverty Status </w:t>
      </w:r>
      <w:proofErr w:type="gramStart"/>
      <w:r w:rsidR="00871913" w:rsidRPr="00B342CF">
        <w:rPr>
          <w:sz w:val="22"/>
          <w:szCs w:val="22"/>
        </w:rPr>
        <w:t>In</w:t>
      </w:r>
      <w:proofErr w:type="gramEnd"/>
      <w:r w:rsidR="00871913" w:rsidRPr="00B342CF">
        <w:rPr>
          <w:sz w:val="22"/>
          <w:szCs w:val="22"/>
        </w:rPr>
        <w:t xml:space="preserve"> The Past 12 Months Of Families By Family Type By Presence Of Related Children Under 18 Years By Age Of Related Children (Black Or African American Alone Householder)</w:t>
      </w:r>
    </w:p>
    <w:p w14:paraId="141BD342" w14:textId="1802A9AB" w:rsidR="00585942" w:rsidRPr="00B342CF" w:rsidRDefault="00871913" w:rsidP="00585942">
      <w:pPr>
        <w:pStyle w:val="ListParagraph"/>
        <w:numPr>
          <w:ilvl w:val="2"/>
          <w:numId w:val="7"/>
        </w:numPr>
        <w:ind w:left="2160"/>
        <w:rPr>
          <w:sz w:val="22"/>
          <w:szCs w:val="22"/>
        </w:rPr>
      </w:pPr>
      <w:r w:rsidRPr="00B342CF">
        <w:rPr>
          <w:sz w:val="22"/>
          <w:szCs w:val="22"/>
        </w:rPr>
        <w:t>B17010B</w:t>
      </w:r>
      <w:r w:rsidR="00837176" w:rsidRPr="00B342CF">
        <w:rPr>
          <w:sz w:val="22"/>
          <w:szCs w:val="22"/>
        </w:rPr>
        <w:t>_001</w:t>
      </w:r>
      <w:r w:rsidR="00585942" w:rsidRPr="00B342CF">
        <w:rPr>
          <w:sz w:val="22"/>
          <w:szCs w:val="22"/>
        </w:rPr>
        <w:t>: Estimate Total</w:t>
      </w:r>
    </w:p>
    <w:p w14:paraId="3933B66D" w14:textId="141486A1" w:rsidR="00837176" w:rsidRPr="00B342CF" w:rsidRDefault="00837176" w:rsidP="00837176">
      <w:pPr>
        <w:pStyle w:val="ListParagraph"/>
        <w:numPr>
          <w:ilvl w:val="2"/>
          <w:numId w:val="7"/>
        </w:numPr>
        <w:ind w:left="2160"/>
        <w:rPr>
          <w:sz w:val="22"/>
          <w:szCs w:val="22"/>
        </w:rPr>
      </w:pPr>
      <w:r w:rsidRPr="00B342CF">
        <w:rPr>
          <w:sz w:val="22"/>
          <w:szCs w:val="22"/>
        </w:rPr>
        <w:t>B17010B_002: Estimate Total Income in the past 12 months below poverty level</w:t>
      </w:r>
    </w:p>
    <w:p w14:paraId="3BE98473" w14:textId="77777777" w:rsidR="0043612D" w:rsidRPr="00B342CF" w:rsidRDefault="0043612D" w:rsidP="00585942">
      <w:pPr>
        <w:ind w:left="720"/>
        <w:rPr>
          <w:sz w:val="22"/>
          <w:szCs w:val="22"/>
        </w:rPr>
      </w:pPr>
    </w:p>
    <w:p w14:paraId="1E9FAF92" w14:textId="77777777" w:rsidR="00A16408" w:rsidRPr="00B342CF" w:rsidRDefault="00A16408" w:rsidP="00A16408">
      <w:pPr>
        <w:rPr>
          <w:b/>
          <w:sz w:val="22"/>
          <w:szCs w:val="22"/>
        </w:rPr>
      </w:pPr>
    </w:p>
    <w:sectPr w:rsidR="00A16408" w:rsidRPr="00B3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99E3" w14:textId="77777777" w:rsidR="003B14AF" w:rsidRDefault="003B14AF" w:rsidP="00621422">
      <w:r>
        <w:separator/>
      </w:r>
    </w:p>
  </w:endnote>
  <w:endnote w:type="continuationSeparator" w:id="0">
    <w:p w14:paraId="7BB9504E" w14:textId="77777777" w:rsidR="003B14AF" w:rsidRDefault="003B14AF" w:rsidP="00621422">
      <w:r>
        <w:continuationSeparator/>
      </w:r>
    </w:p>
  </w:endnote>
  <w:endnote w:type="continuationNotice" w:id="1">
    <w:p w14:paraId="3EBE42DA" w14:textId="77777777" w:rsidR="003B14AF" w:rsidRDefault="003B14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76FD" w14:textId="77777777" w:rsidR="003B14AF" w:rsidRDefault="003B14AF" w:rsidP="00621422">
      <w:r>
        <w:separator/>
      </w:r>
    </w:p>
  </w:footnote>
  <w:footnote w:type="continuationSeparator" w:id="0">
    <w:p w14:paraId="4E4703D0" w14:textId="77777777" w:rsidR="003B14AF" w:rsidRDefault="003B14AF" w:rsidP="00621422">
      <w:r>
        <w:continuationSeparator/>
      </w:r>
    </w:p>
  </w:footnote>
  <w:footnote w:type="continuationNotice" w:id="1">
    <w:p w14:paraId="21801C39" w14:textId="77777777" w:rsidR="003B14AF" w:rsidRDefault="003B14AF"/>
  </w:footnote>
  <w:footnote w:id="2">
    <w:p w14:paraId="4C2B2CE5" w14:textId="32FE7FD4" w:rsidR="00B01EBF" w:rsidRDefault="00B01EBF" w:rsidP="001E7A88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EE4577">
        <w:rPr>
          <w:rFonts w:cstheme="minorHAnsi"/>
          <w:color w:val="222222"/>
          <w:shd w:val="clear" w:color="auto" w:fill="FFFFFF"/>
        </w:rPr>
        <w:t>Sareen, J., Afifi, T. O., McMillan, K. A., &amp; Asmundson, G. J. (2011). Relationship between household income and mental disorders: findings from a population-based longitudinal study. </w:t>
      </w:r>
      <w:r w:rsidRPr="00EE4577">
        <w:rPr>
          <w:rFonts w:cstheme="minorHAnsi"/>
          <w:i/>
          <w:iCs/>
          <w:color w:val="222222"/>
          <w:shd w:val="clear" w:color="auto" w:fill="FFFFFF"/>
        </w:rPr>
        <w:t>Archives of general psychiatry</w:t>
      </w:r>
      <w:r w:rsidRPr="00EE4577">
        <w:rPr>
          <w:rFonts w:cstheme="minorHAnsi"/>
          <w:color w:val="222222"/>
          <w:shd w:val="clear" w:color="auto" w:fill="FFFFFF"/>
        </w:rPr>
        <w:t>, </w:t>
      </w:r>
      <w:r w:rsidRPr="00EE4577">
        <w:rPr>
          <w:rFonts w:cstheme="minorHAnsi"/>
          <w:i/>
          <w:iCs/>
          <w:color w:val="222222"/>
          <w:shd w:val="clear" w:color="auto" w:fill="FFFFFF"/>
        </w:rPr>
        <w:t>68</w:t>
      </w:r>
      <w:r w:rsidRPr="00EE4577">
        <w:rPr>
          <w:rFonts w:cstheme="minorHAnsi"/>
          <w:color w:val="222222"/>
          <w:shd w:val="clear" w:color="auto" w:fill="FFFFFF"/>
        </w:rPr>
        <w:t>(4), 419-427.</w:t>
      </w:r>
    </w:p>
  </w:footnote>
  <w:footnote w:id="3">
    <w:p w14:paraId="385927EC" w14:textId="77777777" w:rsidR="007362DF" w:rsidRDefault="007362DF" w:rsidP="001E7A88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EE4577">
        <w:rPr>
          <w:rFonts w:cstheme="minorHAnsi"/>
          <w:color w:val="222222"/>
          <w:shd w:val="clear" w:color="auto" w:fill="FFFFFF"/>
        </w:rPr>
        <w:t>Cree, R. A., Okoro, C. A., Zack, M. M., &amp; Carbone, E. (2020). Frequent Mental Distress Among Adults, by Disability Status, Disability Type, and Selected Characteristics—United States, 2018. </w:t>
      </w:r>
      <w:r w:rsidRPr="00EE4577">
        <w:rPr>
          <w:rFonts w:cstheme="minorHAnsi"/>
          <w:i/>
          <w:iCs/>
          <w:color w:val="222222"/>
          <w:shd w:val="clear" w:color="auto" w:fill="FFFFFF"/>
        </w:rPr>
        <w:t>Morbidity and Mortality Weekly Report</w:t>
      </w:r>
      <w:r w:rsidRPr="00EE4577">
        <w:rPr>
          <w:rFonts w:cstheme="minorHAnsi"/>
          <w:color w:val="222222"/>
          <w:shd w:val="clear" w:color="auto" w:fill="FFFFFF"/>
        </w:rPr>
        <w:t>, </w:t>
      </w:r>
      <w:r w:rsidRPr="00EE4577">
        <w:rPr>
          <w:rFonts w:cstheme="minorHAnsi"/>
          <w:i/>
          <w:iCs/>
          <w:color w:val="222222"/>
          <w:shd w:val="clear" w:color="auto" w:fill="FFFFFF"/>
        </w:rPr>
        <w:t>69</w:t>
      </w:r>
      <w:r w:rsidRPr="00EE4577">
        <w:rPr>
          <w:rFonts w:cstheme="minorHAnsi"/>
          <w:color w:val="222222"/>
          <w:shd w:val="clear" w:color="auto" w:fill="FFFFFF"/>
        </w:rPr>
        <w:t>(36), 1238.</w:t>
      </w:r>
    </w:p>
  </w:footnote>
  <w:footnote w:id="4">
    <w:p w14:paraId="2823B300" w14:textId="3A330EB1" w:rsidR="005A3F6E" w:rsidRDefault="005A3F6E" w:rsidP="001E7A88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034C80" w:rsidRPr="00EE4577">
        <w:rPr>
          <w:rFonts w:cstheme="minorHAnsi"/>
          <w:color w:val="222222"/>
          <w:shd w:val="clear" w:color="auto" w:fill="FFFFFF"/>
        </w:rPr>
        <w:t>Vick, B. C., Jones, K., &amp; Mitra, S. (2012). Poverty and psychiatric diagnosis in the US: Evidence from the medical expenditure panel survey. </w:t>
      </w:r>
      <w:r w:rsidR="00034C80" w:rsidRPr="00EE4577">
        <w:rPr>
          <w:rFonts w:cstheme="minorHAnsi"/>
          <w:i/>
          <w:iCs/>
          <w:color w:val="222222"/>
          <w:shd w:val="clear" w:color="auto" w:fill="FFFFFF"/>
        </w:rPr>
        <w:t>Vick, B., K. Jones and Mitra, S. Poverty and Psychiatric Diagnosis in the US: Evidence from the Medical Expenditure Panel Survey. Journal of Mental Health Policy and Economics</w:t>
      </w:r>
      <w:r w:rsidR="00034C80" w:rsidRPr="00EE4577">
        <w:rPr>
          <w:rFonts w:cstheme="minorHAnsi"/>
          <w:color w:val="222222"/>
          <w:shd w:val="clear" w:color="auto" w:fill="FFFFFF"/>
        </w:rPr>
        <w:t>, </w:t>
      </w:r>
      <w:r w:rsidR="00034C80" w:rsidRPr="00EE4577">
        <w:rPr>
          <w:rFonts w:cstheme="minorHAnsi"/>
          <w:i/>
          <w:iCs/>
          <w:color w:val="222222"/>
          <w:shd w:val="clear" w:color="auto" w:fill="FFFFFF"/>
        </w:rPr>
        <w:t>15</w:t>
      </w:r>
      <w:r w:rsidR="00034C80" w:rsidRPr="00EE4577">
        <w:rPr>
          <w:rFonts w:cstheme="minorHAnsi"/>
          <w:color w:val="222222"/>
          <w:shd w:val="clear" w:color="auto" w:fill="FFFFFF"/>
        </w:rPr>
        <w:t>(2).</w:t>
      </w:r>
    </w:p>
  </w:footnote>
  <w:footnote w:id="5">
    <w:p w14:paraId="76E95736" w14:textId="15946F9D" w:rsidR="00E36986" w:rsidRPr="00437A6F" w:rsidRDefault="00E36986" w:rsidP="001E7A88">
      <w:pPr>
        <w:pStyle w:val="FootnoteText"/>
        <w:ind w:left="720" w:hanging="720"/>
        <w:rPr>
          <w:rFonts w:cstheme="minorHAnsi"/>
        </w:rPr>
      </w:pPr>
      <w:r w:rsidRPr="00437A6F">
        <w:rPr>
          <w:rStyle w:val="FootnoteReference"/>
          <w:rFonts w:cstheme="minorHAnsi"/>
        </w:rPr>
        <w:footnoteRef/>
      </w:r>
      <w:r w:rsidRPr="00437A6F">
        <w:rPr>
          <w:rFonts w:cstheme="minorHAnsi"/>
        </w:rPr>
        <w:t xml:space="preserve"> Substance Abuse and Mental Health Services Administration.</w:t>
      </w:r>
      <w:r w:rsidR="002644DD" w:rsidRPr="00437A6F">
        <w:rPr>
          <w:rFonts w:cstheme="minorHAnsi"/>
        </w:rPr>
        <w:t xml:space="preserve"> (2016)</w:t>
      </w:r>
      <w:r w:rsidRPr="00437A6F">
        <w:rPr>
          <w:rFonts w:cstheme="minorHAnsi"/>
        </w:rPr>
        <w:t xml:space="preserve"> </w:t>
      </w:r>
      <w:r w:rsidR="000D1A2F" w:rsidRPr="00437A6F">
        <w:rPr>
          <w:rFonts w:cstheme="minorHAnsi"/>
          <w:i/>
          <w:iCs/>
        </w:rPr>
        <w:t>Serious Mental Illness Among A</w:t>
      </w:r>
      <w:r w:rsidR="00383744" w:rsidRPr="00437A6F">
        <w:rPr>
          <w:rFonts w:cstheme="minorHAnsi"/>
          <w:i/>
          <w:iCs/>
        </w:rPr>
        <w:t>dults</w:t>
      </w:r>
      <w:r w:rsidR="000D1A2F" w:rsidRPr="00437A6F">
        <w:rPr>
          <w:rFonts w:cstheme="minorHAnsi"/>
          <w:i/>
          <w:iCs/>
        </w:rPr>
        <w:t xml:space="preserve"> B</w:t>
      </w:r>
      <w:r w:rsidR="00383744" w:rsidRPr="00437A6F">
        <w:rPr>
          <w:rFonts w:cstheme="minorHAnsi"/>
          <w:i/>
          <w:iCs/>
        </w:rPr>
        <w:t>elow the</w:t>
      </w:r>
      <w:r w:rsidR="000D1A2F" w:rsidRPr="00437A6F">
        <w:rPr>
          <w:rFonts w:cstheme="minorHAnsi"/>
          <w:i/>
          <w:iCs/>
        </w:rPr>
        <w:t xml:space="preserve"> P</w:t>
      </w:r>
      <w:r w:rsidR="00383744" w:rsidRPr="00437A6F">
        <w:rPr>
          <w:rFonts w:cstheme="minorHAnsi"/>
          <w:i/>
          <w:iCs/>
        </w:rPr>
        <w:t xml:space="preserve">overty </w:t>
      </w:r>
      <w:r w:rsidR="000D1A2F" w:rsidRPr="00437A6F">
        <w:rPr>
          <w:rFonts w:cstheme="minorHAnsi"/>
          <w:i/>
          <w:iCs/>
        </w:rPr>
        <w:t>L</w:t>
      </w:r>
      <w:r w:rsidR="00383744" w:rsidRPr="00437A6F">
        <w:rPr>
          <w:rFonts w:cstheme="minorHAnsi"/>
          <w:i/>
          <w:iCs/>
        </w:rPr>
        <w:t>ine</w:t>
      </w:r>
      <w:r w:rsidR="000D1A2F" w:rsidRPr="00437A6F">
        <w:rPr>
          <w:rFonts w:cstheme="minorHAnsi"/>
        </w:rPr>
        <w:t xml:space="preserve">. </w:t>
      </w:r>
      <w:r w:rsidRPr="00437A6F">
        <w:rPr>
          <w:rFonts w:cstheme="minorHAnsi"/>
        </w:rPr>
        <w:t>The CBHSQ Report.</w:t>
      </w:r>
      <w:r w:rsidR="000D1748" w:rsidRPr="00437A6F">
        <w:rPr>
          <w:rFonts w:cstheme="minorHAnsi"/>
        </w:rPr>
        <w:t xml:space="preserve"> </w:t>
      </w:r>
      <w:hyperlink r:id="rId1" w:history="1">
        <w:r w:rsidR="000D1748" w:rsidRPr="00437A6F">
          <w:rPr>
            <w:rStyle w:val="Hyperlink"/>
            <w:rFonts w:cstheme="minorHAnsi"/>
          </w:rPr>
          <w:t>https://www.samhsa.gov/data/sites/default/files/report_2720/Spotlight-2720.pdf</w:t>
        </w:r>
      </w:hyperlink>
      <w:r w:rsidR="000D1748" w:rsidRPr="00437A6F">
        <w:rPr>
          <w:rFonts w:cstheme="minorHAnsi"/>
        </w:rPr>
        <w:t xml:space="preserve"> </w:t>
      </w:r>
    </w:p>
  </w:footnote>
  <w:footnote w:id="6">
    <w:p w14:paraId="6AB95BF6" w14:textId="0A4897E7" w:rsidR="004A274A" w:rsidRPr="00437A6F" w:rsidRDefault="004A274A" w:rsidP="004A274A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437A6F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37A6F">
        <w:rPr>
          <w:rFonts w:asciiTheme="minorHAnsi" w:hAnsiTheme="minorHAnsi" w:cstheme="minorHAnsi"/>
          <w:sz w:val="20"/>
          <w:szCs w:val="20"/>
        </w:rPr>
        <w:t xml:space="preserve"> </w:t>
      </w:r>
      <w:r w:rsidRPr="00437A6F">
        <w:rPr>
          <w:rFonts w:asciiTheme="minorHAnsi" w:hAnsiTheme="minorHAnsi" w:cstheme="minorHAnsi"/>
          <w:i/>
          <w:iCs/>
          <w:sz w:val="20"/>
          <w:szCs w:val="20"/>
        </w:rPr>
        <w:t>Poverty Guidelines</w:t>
      </w:r>
      <w:r w:rsidRPr="00437A6F">
        <w:rPr>
          <w:rFonts w:asciiTheme="minorHAnsi" w:hAnsiTheme="minorHAnsi" w:cstheme="minorHAnsi"/>
          <w:sz w:val="20"/>
          <w:szCs w:val="20"/>
        </w:rPr>
        <w:t xml:space="preserve">. (2021). ASPE. </w:t>
      </w:r>
      <w:hyperlink r:id="rId2" w:history="1">
        <w:r w:rsidRPr="00437A6F">
          <w:rPr>
            <w:rStyle w:val="Hyperlink"/>
            <w:rFonts w:asciiTheme="minorHAnsi" w:hAnsiTheme="minorHAnsi" w:cstheme="minorHAnsi"/>
            <w:sz w:val="20"/>
            <w:szCs w:val="20"/>
          </w:rPr>
          <w:t>https://aspe.hhs.gov/poverty-guidelines</w:t>
        </w:r>
      </w:hyperlink>
      <w:r w:rsidRPr="00437A6F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7">
    <w:p w14:paraId="6409DCAF" w14:textId="77777777" w:rsidR="004A274A" w:rsidRPr="00437A6F" w:rsidRDefault="004A274A" w:rsidP="001E7A88">
      <w:pPr>
        <w:pStyle w:val="FootnoteText"/>
        <w:ind w:left="720" w:hanging="720"/>
        <w:rPr>
          <w:rFonts w:cstheme="minorHAnsi"/>
        </w:rPr>
      </w:pPr>
      <w:r w:rsidRPr="00437A6F">
        <w:rPr>
          <w:rStyle w:val="FootnoteReference"/>
          <w:rFonts w:cstheme="minorHAnsi"/>
        </w:rPr>
        <w:footnoteRef/>
      </w:r>
      <w:r w:rsidRPr="00437A6F">
        <w:rPr>
          <w:rFonts w:cstheme="minorHAnsi"/>
        </w:rPr>
        <w:t xml:space="preserve"> </w:t>
      </w:r>
      <w:r w:rsidRPr="00437A6F">
        <w:rPr>
          <w:rFonts w:cstheme="minorHAnsi"/>
          <w:color w:val="222222"/>
          <w:shd w:val="clear" w:color="auto" w:fill="FFFFFF"/>
        </w:rPr>
        <w:t>Weissman, J. S., Pratt, L. A., Miller, E. A., &amp; Parker, J. D. (2015). </w:t>
      </w:r>
      <w:r w:rsidRPr="00437A6F">
        <w:rPr>
          <w:rFonts w:cstheme="minorHAnsi"/>
          <w:i/>
          <w:iCs/>
          <w:color w:val="222222"/>
          <w:shd w:val="clear" w:color="auto" w:fill="FFFFFF"/>
        </w:rPr>
        <w:t>Serious psychological distress among adults, United States, 2009-2013</w:t>
      </w:r>
      <w:r w:rsidRPr="00437A6F">
        <w:rPr>
          <w:rFonts w:cstheme="minorHAnsi"/>
          <w:color w:val="222222"/>
          <w:shd w:val="clear" w:color="auto" w:fill="FFFFFF"/>
        </w:rPr>
        <w:t xml:space="preserve">. </w:t>
      </w:r>
      <w:r w:rsidRPr="00437A6F">
        <w:rPr>
          <w:rFonts w:cstheme="minorHAnsi"/>
          <w:i/>
          <w:iCs/>
          <w:color w:val="212121"/>
          <w:shd w:val="clear" w:color="auto" w:fill="FFFFFF"/>
        </w:rPr>
        <w:t>NCHS data brief</w:t>
      </w:r>
      <w:r w:rsidRPr="00437A6F">
        <w:rPr>
          <w:rFonts w:cstheme="minorHAnsi"/>
          <w:color w:val="212121"/>
          <w:shd w:val="clear" w:color="auto" w:fill="FFFFFF"/>
        </w:rPr>
        <w:t xml:space="preserve">, (203), 1–8. </w:t>
      </w:r>
      <w:hyperlink r:id="rId3" w:history="1">
        <w:r w:rsidRPr="00437A6F">
          <w:rPr>
            <w:rStyle w:val="Hyperlink"/>
            <w:rFonts w:cstheme="minorHAnsi"/>
            <w:shd w:val="clear" w:color="auto" w:fill="FFFFFF"/>
          </w:rPr>
          <w:t>https://pubmed.ncbi.nlm.nih.gov/26046826/</w:t>
        </w:r>
      </w:hyperlink>
      <w:r w:rsidRPr="00437A6F">
        <w:rPr>
          <w:rFonts w:cstheme="minorHAnsi"/>
          <w:color w:val="212121"/>
          <w:shd w:val="clear" w:color="auto" w:fill="FFFFFF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94F6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A07DA5"/>
    <w:multiLevelType w:val="hybridMultilevel"/>
    <w:tmpl w:val="DD7462EE"/>
    <w:lvl w:ilvl="0" w:tplc="631ED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722A3B"/>
    <w:multiLevelType w:val="hybridMultilevel"/>
    <w:tmpl w:val="B64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0"/>
  </w:num>
  <w:num w:numId="7">
    <w:abstractNumId w:val="12"/>
  </w:num>
  <w:num w:numId="8">
    <w:abstractNumId w:val="1"/>
  </w:num>
  <w:num w:numId="9">
    <w:abstractNumId w:val="15"/>
  </w:num>
  <w:num w:numId="10">
    <w:abstractNumId w:val="3"/>
  </w:num>
  <w:num w:numId="11">
    <w:abstractNumId w:val="16"/>
  </w:num>
  <w:num w:numId="12">
    <w:abstractNumId w:val="2"/>
  </w:num>
  <w:num w:numId="13">
    <w:abstractNumId w:val="14"/>
  </w:num>
  <w:num w:numId="14">
    <w:abstractNumId w:val="5"/>
  </w:num>
  <w:num w:numId="15">
    <w:abstractNumId w:val="9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1020"/>
    <w:rsid w:val="000114FE"/>
    <w:rsid w:val="000149DE"/>
    <w:rsid w:val="0002026C"/>
    <w:rsid w:val="00023FC2"/>
    <w:rsid w:val="00034C80"/>
    <w:rsid w:val="00082B14"/>
    <w:rsid w:val="00082C3D"/>
    <w:rsid w:val="00084E67"/>
    <w:rsid w:val="00085736"/>
    <w:rsid w:val="000858BE"/>
    <w:rsid w:val="00086494"/>
    <w:rsid w:val="000927B8"/>
    <w:rsid w:val="000A2C49"/>
    <w:rsid w:val="000A6AA0"/>
    <w:rsid w:val="000B1EA3"/>
    <w:rsid w:val="000B2D9B"/>
    <w:rsid w:val="000B4F39"/>
    <w:rsid w:val="000B5ACA"/>
    <w:rsid w:val="000C47D5"/>
    <w:rsid w:val="000C4FEE"/>
    <w:rsid w:val="000D1748"/>
    <w:rsid w:val="000D1A2F"/>
    <w:rsid w:val="000D5C93"/>
    <w:rsid w:val="00106957"/>
    <w:rsid w:val="00111924"/>
    <w:rsid w:val="00115761"/>
    <w:rsid w:val="001236AD"/>
    <w:rsid w:val="00125EE2"/>
    <w:rsid w:val="001272AE"/>
    <w:rsid w:val="0013071B"/>
    <w:rsid w:val="00143CCB"/>
    <w:rsid w:val="00144D3F"/>
    <w:rsid w:val="00153127"/>
    <w:rsid w:val="00156C33"/>
    <w:rsid w:val="001577D8"/>
    <w:rsid w:val="0017033B"/>
    <w:rsid w:val="00173708"/>
    <w:rsid w:val="00180268"/>
    <w:rsid w:val="00181F4B"/>
    <w:rsid w:val="00190959"/>
    <w:rsid w:val="00195D67"/>
    <w:rsid w:val="00196195"/>
    <w:rsid w:val="001B437D"/>
    <w:rsid w:val="001B5F77"/>
    <w:rsid w:val="001B6722"/>
    <w:rsid w:val="001B6B06"/>
    <w:rsid w:val="001D40DC"/>
    <w:rsid w:val="001E77E9"/>
    <w:rsid w:val="001E7A88"/>
    <w:rsid w:val="001F4498"/>
    <w:rsid w:val="0020509B"/>
    <w:rsid w:val="00206CB9"/>
    <w:rsid w:val="00207772"/>
    <w:rsid w:val="002410A7"/>
    <w:rsid w:val="00247C44"/>
    <w:rsid w:val="0025234F"/>
    <w:rsid w:val="00253856"/>
    <w:rsid w:val="002644DD"/>
    <w:rsid w:val="002649BE"/>
    <w:rsid w:val="00264DF9"/>
    <w:rsid w:val="00270F6B"/>
    <w:rsid w:val="002716B7"/>
    <w:rsid w:val="00282585"/>
    <w:rsid w:val="002B0BA2"/>
    <w:rsid w:val="002B6F8E"/>
    <w:rsid w:val="002C5043"/>
    <w:rsid w:val="002D31E1"/>
    <w:rsid w:val="002D68CF"/>
    <w:rsid w:val="002F1576"/>
    <w:rsid w:val="002F233B"/>
    <w:rsid w:val="002F710D"/>
    <w:rsid w:val="00302737"/>
    <w:rsid w:val="00313870"/>
    <w:rsid w:val="00313E9F"/>
    <w:rsid w:val="00317247"/>
    <w:rsid w:val="00326F71"/>
    <w:rsid w:val="003311FE"/>
    <w:rsid w:val="00341D0E"/>
    <w:rsid w:val="003628E7"/>
    <w:rsid w:val="003637B9"/>
    <w:rsid w:val="00371F7E"/>
    <w:rsid w:val="00375316"/>
    <w:rsid w:val="003769C3"/>
    <w:rsid w:val="00381B97"/>
    <w:rsid w:val="00383744"/>
    <w:rsid w:val="003837BB"/>
    <w:rsid w:val="003A178B"/>
    <w:rsid w:val="003A2AA6"/>
    <w:rsid w:val="003B14AF"/>
    <w:rsid w:val="003B7761"/>
    <w:rsid w:val="003C4AFD"/>
    <w:rsid w:val="003C5BDE"/>
    <w:rsid w:val="003C7FF1"/>
    <w:rsid w:val="003D1192"/>
    <w:rsid w:val="003E542E"/>
    <w:rsid w:val="003E748A"/>
    <w:rsid w:val="003E7519"/>
    <w:rsid w:val="003E7BE4"/>
    <w:rsid w:val="003F50AD"/>
    <w:rsid w:val="004014EC"/>
    <w:rsid w:val="00401DFA"/>
    <w:rsid w:val="00402B6B"/>
    <w:rsid w:val="00412D30"/>
    <w:rsid w:val="00415A9E"/>
    <w:rsid w:val="0041781B"/>
    <w:rsid w:val="00424C26"/>
    <w:rsid w:val="00433CEA"/>
    <w:rsid w:val="0043612D"/>
    <w:rsid w:val="004371DA"/>
    <w:rsid w:val="00437A6F"/>
    <w:rsid w:val="0044317E"/>
    <w:rsid w:val="004442BA"/>
    <w:rsid w:val="004539DE"/>
    <w:rsid w:val="004559BB"/>
    <w:rsid w:val="0046390A"/>
    <w:rsid w:val="0047518C"/>
    <w:rsid w:val="004A274A"/>
    <w:rsid w:val="004A6F82"/>
    <w:rsid w:val="004A7D20"/>
    <w:rsid w:val="004B117A"/>
    <w:rsid w:val="004B11C9"/>
    <w:rsid w:val="004B184A"/>
    <w:rsid w:val="004C1E94"/>
    <w:rsid w:val="004D168C"/>
    <w:rsid w:val="004F087F"/>
    <w:rsid w:val="004F54DE"/>
    <w:rsid w:val="004F59F0"/>
    <w:rsid w:val="00502E6A"/>
    <w:rsid w:val="00506E9D"/>
    <w:rsid w:val="00513AF7"/>
    <w:rsid w:val="00523739"/>
    <w:rsid w:val="00523767"/>
    <w:rsid w:val="00527C80"/>
    <w:rsid w:val="00541485"/>
    <w:rsid w:val="005429A8"/>
    <w:rsid w:val="00546906"/>
    <w:rsid w:val="00550602"/>
    <w:rsid w:val="00564719"/>
    <w:rsid w:val="00565CBC"/>
    <w:rsid w:val="0057107A"/>
    <w:rsid w:val="00571549"/>
    <w:rsid w:val="0057294C"/>
    <w:rsid w:val="005741E0"/>
    <w:rsid w:val="00583AEA"/>
    <w:rsid w:val="00585942"/>
    <w:rsid w:val="005930F0"/>
    <w:rsid w:val="005A197C"/>
    <w:rsid w:val="005A3F6E"/>
    <w:rsid w:val="005B518E"/>
    <w:rsid w:val="005B70E5"/>
    <w:rsid w:val="005B75B1"/>
    <w:rsid w:val="005C1F18"/>
    <w:rsid w:val="005C67CF"/>
    <w:rsid w:val="005D7601"/>
    <w:rsid w:val="00601594"/>
    <w:rsid w:val="00614E11"/>
    <w:rsid w:val="006157B5"/>
    <w:rsid w:val="00621422"/>
    <w:rsid w:val="006257C4"/>
    <w:rsid w:val="006411AF"/>
    <w:rsid w:val="00646887"/>
    <w:rsid w:val="00660E1B"/>
    <w:rsid w:val="006855A4"/>
    <w:rsid w:val="00694C94"/>
    <w:rsid w:val="006A3811"/>
    <w:rsid w:val="006B06E3"/>
    <w:rsid w:val="006B19EB"/>
    <w:rsid w:val="006C0F87"/>
    <w:rsid w:val="006C7D41"/>
    <w:rsid w:val="006D0FD0"/>
    <w:rsid w:val="006E19F6"/>
    <w:rsid w:val="006E2780"/>
    <w:rsid w:val="006E7964"/>
    <w:rsid w:val="0070276E"/>
    <w:rsid w:val="007048E3"/>
    <w:rsid w:val="00713780"/>
    <w:rsid w:val="007150E1"/>
    <w:rsid w:val="00717D86"/>
    <w:rsid w:val="00723C01"/>
    <w:rsid w:val="00731C23"/>
    <w:rsid w:val="007362DF"/>
    <w:rsid w:val="007462DF"/>
    <w:rsid w:val="00752999"/>
    <w:rsid w:val="00770312"/>
    <w:rsid w:val="00770E87"/>
    <w:rsid w:val="00774EC9"/>
    <w:rsid w:val="00780227"/>
    <w:rsid w:val="00784EEF"/>
    <w:rsid w:val="007A0974"/>
    <w:rsid w:val="007A3CFF"/>
    <w:rsid w:val="007C5A29"/>
    <w:rsid w:val="007D09A4"/>
    <w:rsid w:val="007E62C0"/>
    <w:rsid w:val="007E7919"/>
    <w:rsid w:val="007F1645"/>
    <w:rsid w:val="00804F1D"/>
    <w:rsid w:val="0081035A"/>
    <w:rsid w:val="00811560"/>
    <w:rsid w:val="00826F9F"/>
    <w:rsid w:val="008277ED"/>
    <w:rsid w:val="00830AEB"/>
    <w:rsid w:val="00834819"/>
    <w:rsid w:val="00834D3D"/>
    <w:rsid w:val="00837176"/>
    <w:rsid w:val="0084165F"/>
    <w:rsid w:val="00841D17"/>
    <w:rsid w:val="00844E53"/>
    <w:rsid w:val="00846BE5"/>
    <w:rsid w:val="008606F5"/>
    <w:rsid w:val="00864119"/>
    <w:rsid w:val="008642CA"/>
    <w:rsid w:val="00864E03"/>
    <w:rsid w:val="0087007A"/>
    <w:rsid w:val="00871913"/>
    <w:rsid w:val="00884D16"/>
    <w:rsid w:val="008912BB"/>
    <w:rsid w:val="00894424"/>
    <w:rsid w:val="008B110E"/>
    <w:rsid w:val="008B2CD4"/>
    <w:rsid w:val="008D62FB"/>
    <w:rsid w:val="008E181D"/>
    <w:rsid w:val="008E6E54"/>
    <w:rsid w:val="008F0A0C"/>
    <w:rsid w:val="008F1639"/>
    <w:rsid w:val="008F3A1B"/>
    <w:rsid w:val="008F7EDD"/>
    <w:rsid w:val="00902182"/>
    <w:rsid w:val="009026D2"/>
    <w:rsid w:val="00904839"/>
    <w:rsid w:val="009245F3"/>
    <w:rsid w:val="00930000"/>
    <w:rsid w:val="009372D5"/>
    <w:rsid w:val="00947D22"/>
    <w:rsid w:val="00952075"/>
    <w:rsid w:val="009A1DC4"/>
    <w:rsid w:val="009A2E19"/>
    <w:rsid w:val="009A6BEA"/>
    <w:rsid w:val="009B059E"/>
    <w:rsid w:val="009B4901"/>
    <w:rsid w:val="009C323C"/>
    <w:rsid w:val="009D5581"/>
    <w:rsid w:val="009D648F"/>
    <w:rsid w:val="009E56D4"/>
    <w:rsid w:val="009F7E3B"/>
    <w:rsid w:val="009F7F66"/>
    <w:rsid w:val="00A024E8"/>
    <w:rsid w:val="00A12B8A"/>
    <w:rsid w:val="00A16211"/>
    <w:rsid w:val="00A16408"/>
    <w:rsid w:val="00A31860"/>
    <w:rsid w:val="00A34BBA"/>
    <w:rsid w:val="00A43B35"/>
    <w:rsid w:val="00A44B70"/>
    <w:rsid w:val="00A4751E"/>
    <w:rsid w:val="00A5459D"/>
    <w:rsid w:val="00A73104"/>
    <w:rsid w:val="00A75AB7"/>
    <w:rsid w:val="00A80510"/>
    <w:rsid w:val="00A80837"/>
    <w:rsid w:val="00A85E6C"/>
    <w:rsid w:val="00A96381"/>
    <w:rsid w:val="00A9711C"/>
    <w:rsid w:val="00AA30DA"/>
    <w:rsid w:val="00AA5AB9"/>
    <w:rsid w:val="00AB5702"/>
    <w:rsid w:val="00AD1609"/>
    <w:rsid w:val="00AE1510"/>
    <w:rsid w:val="00AE261C"/>
    <w:rsid w:val="00AE3CC1"/>
    <w:rsid w:val="00AE5571"/>
    <w:rsid w:val="00AF01CB"/>
    <w:rsid w:val="00AF4339"/>
    <w:rsid w:val="00B01EBF"/>
    <w:rsid w:val="00B06E73"/>
    <w:rsid w:val="00B105B2"/>
    <w:rsid w:val="00B342CF"/>
    <w:rsid w:val="00B3454E"/>
    <w:rsid w:val="00B35202"/>
    <w:rsid w:val="00B42E02"/>
    <w:rsid w:val="00B46D61"/>
    <w:rsid w:val="00B567CA"/>
    <w:rsid w:val="00B67A16"/>
    <w:rsid w:val="00B74BAD"/>
    <w:rsid w:val="00B75BA7"/>
    <w:rsid w:val="00B77980"/>
    <w:rsid w:val="00B81F6C"/>
    <w:rsid w:val="00B848B2"/>
    <w:rsid w:val="00B87C97"/>
    <w:rsid w:val="00B93EF2"/>
    <w:rsid w:val="00BA0AB6"/>
    <w:rsid w:val="00BA24ED"/>
    <w:rsid w:val="00BA329B"/>
    <w:rsid w:val="00BA6416"/>
    <w:rsid w:val="00BB00D7"/>
    <w:rsid w:val="00BB551D"/>
    <w:rsid w:val="00BB5BCD"/>
    <w:rsid w:val="00BC5120"/>
    <w:rsid w:val="00BE20A4"/>
    <w:rsid w:val="00BE21A8"/>
    <w:rsid w:val="00BE2FA0"/>
    <w:rsid w:val="00BE7E58"/>
    <w:rsid w:val="00BF135F"/>
    <w:rsid w:val="00BF6CB6"/>
    <w:rsid w:val="00C007C3"/>
    <w:rsid w:val="00C010D0"/>
    <w:rsid w:val="00C01AB6"/>
    <w:rsid w:val="00C13BA4"/>
    <w:rsid w:val="00C14DF0"/>
    <w:rsid w:val="00C22F0E"/>
    <w:rsid w:val="00C23FB4"/>
    <w:rsid w:val="00C25AC9"/>
    <w:rsid w:val="00C310F8"/>
    <w:rsid w:val="00C44CA3"/>
    <w:rsid w:val="00C46A2C"/>
    <w:rsid w:val="00C51C3B"/>
    <w:rsid w:val="00C63158"/>
    <w:rsid w:val="00C6333A"/>
    <w:rsid w:val="00C660C4"/>
    <w:rsid w:val="00C674A9"/>
    <w:rsid w:val="00C755D7"/>
    <w:rsid w:val="00C8203C"/>
    <w:rsid w:val="00CA4A9E"/>
    <w:rsid w:val="00CA7463"/>
    <w:rsid w:val="00CB7884"/>
    <w:rsid w:val="00CC6FD7"/>
    <w:rsid w:val="00CD7C69"/>
    <w:rsid w:val="00CE7C92"/>
    <w:rsid w:val="00CF3CCE"/>
    <w:rsid w:val="00D00160"/>
    <w:rsid w:val="00D0227F"/>
    <w:rsid w:val="00D05717"/>
    <w:rsid w:val="00D06090"/>
    <w:rsid w:val="00D07D4C"/>
    <w:rsid w:val="00D14AF7"/>
    <w:rsid w:val="00D25643"/>
    <w:rsid w:val="00D268F7"/>
    <w:rsid w:val="00D411A2"/>
    <w:rsid w:val="00D44CAC"/>
    <w:rsid w:val="00D535CB"/>
    <w:rsid w:val="00D616ED"/>
    <w:rsid w:val="00D63B71"/>
    <w:rsid w:val="00D6794E"/>
    <w:rsid w:val="00D71163"/>
    <w:rsid w:val="00D728E6"/>
    <w:rsid w:val="00D73B5B"/>
    <w:rsid w:val="00D85C3D"/>
    <w:rsid w:val="00D91112"/>
    <w:rsid w:val="00DA00E6"/>
    <w:rsid w:val="00DA0FDC"/>
    <w:rsid w:val="00DA16C3"/>
    <w:rsid w:val="00DB02A2"/>
    <w:rsid w:val="00DB2FF7"/>
    <w:rsid w:val="00DB427B"/>
    <w:rsid w:val="00DB4829"/>
    <w:rsid w:val="00DC487E"/>
    <w:rsid w:val="00DD15F7"/>
    <w:rsid w:val="00DE4E84"/>
    <w:rsid w:val="00DE4FB1"/>
    <w:rsid w:val="00DE6120"/>
    <w:rsid w:val="00DE6422"/>
    <w:rsid w:val="00DF0361"/>
    <w:rsid w:val="00DF1559"/>
    <w:rsid w:val="00DF1B70"/>
    <w:rsid w:val="00E010F1"/>
    <w:rsid w:val="00E15A06"/>
    <w:rsid w:val="00E20536"/>
    <w:rsid w:val="00E21A26"/>
    <w:rsid w:val="00E252BC"/>
    <w:rsid w:val="00E34396"/>
    <w:rsid w:val="00E36986"/>
    <w:rsid w:val="00E5225B"/>
    <w:rsid w:val="00E651D5"/>
    <w:rsid w:val="00E675E3"/>
    <w:rsid w:val="00E7026A"/>
    <w:rsid w:val="00E7035E"/>
    <w:rsid w:val="00E775B6"/>
    <w:rsid w:val="00EA18EC"/>
    <w:rsid w:val="00EA3FE4"/>
    <w:rsid w:val="00EC4349"/>
    <w:rsid w:val="00EC670E"/>
    <w:rsid w:val="00ED5DD3"/>
    <w:rsid w:val="00ED6351"/>
    <w:rsid w:val="00EE3FDA"/>
    <w:rsid w:val="00EE4577"/>
    <w:rsid w:val="00EE5730"/>
    <w:rsid w:val="00EE7F15"/>
    <w:rsid w:val="00F07085"/>
    <w:rsid w:val="00F2637A"/>
    <w:rsid w:val="00F34D30"/>
    <w:rsid w:val="00F40380"/>
    <w:rsid w:val="00F43C8F"/>
    <w:rsid w:val="00F516CA"/>
    <w:rsid w:val="00F5555C"/>
    <w:rsid w:val="00F55597"/>
    <w:rsid w:val="00F6460C"/>
    <w:rsid w:val="00F8197B"/>
    <w:rsid w:val="00F94A4F"/>
    <w:rsid w:val="00F94EC4"/>
    <w:rsid w:val="00F96038"/>
    <w:rsid w:val="00FA06B7"/>
    <w:rsid w:val="00FA1B5A"/>
    <w:rsid w:val="00FA2118"/>
    <w:rsid w:val="00FA2DEE"/>
    <w:rsid w:val="00FA2ED2"/>
    <w:rsid w:val="00FB05D3"/>
    <w:rsid w:val="00FB19F1"/>
    <w:rsid w:val="00FB5343"/>
    <w:rsid w:val="00FB6FF8"/>
    <w:rsid w:val="00FC799E"/>
    <w:rsid w:val="00FE1520"/>
    <w:rsid w:val="00FF2D1E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CD5159EC-F128-47F2-85EA-A391E5ED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A64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42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nsus.gov/programs-surveys/acs/data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ubmed.ncbi.nlm.nih.gov/26046826/" TargetMode="External"/><Relationship Id="rId2" Type="http://schemas.openxmlformats.org/officeDocument/2006/relationships/hyperlink" Target="https://aspe.hhs.gov/poverty-guidelines" TargetMode="External"/><Relationship Id="rId1" Type="http://schemas.openxmlformats.org/officeDocument/2006/relationships/hyperlink" Target="https://www.samhsa.gov/data/sites/default/files/report_2720/Spotlight-27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162</cp:revision>
  <dcterms:created xsi:type="dcterms:W3CDTF">2021-06-04T17:49:00Z</dcterms:created>
  <dcterms:modified xsi:type="dcterms:W3CDTF">2021-11-15T18:51:00Z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