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E859851" w:rsidR="002B6F8E" w:rsidRDefault="002B6F8E">
      <w:r w:rsidRPr="00AE261C">
        <w:rPr>
          <w:b/>
          <w:bCs/>
        </w:rPr>
        <w:t>Name</w:t>
      </w:r>
      <w:r w:rsidR="00D44CAC">
        <w:t>:</w:t>
      </w:r>
      <w:r w:rsidR="00CE59E3">
        <w:t xml:space="preserve"> Insufficient </w:t>
      </w:r>
      <w:r w:rsidR="004A7A66">
        <w:t>S</w:t>
      </w:r>
      <w:r w:rsidR="00CE59E3">
        <w:t xml:space="preserve">leep </w:t>
      </w:r>
    </w:p>
    <w:p w14:paraId="0D41E867" w14:textId="77777777" w:rsidR="00AA5AB9" w:rsidRDefault="00AA5AB9"/>
    <w:p w14:paraId="100E41DE" w14:textId="660A1689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337874">
        <w:t xml:space="preserve"> Percent of </w:t>
      </w:r>
      <w:r w:rsidR="001716CF">
        <w:t>adults</w:t>
      </w:r>
      <w:r w:rsidR="00337874">
        <w:t xml:space="preserve"> </w:t>
      </w:r>
      <w:r w:rsidR="00D94BD6">
        <w:t xml:space="preserve">reporting </w:t>
      </w:r>
      <w:r w:rsidR="00337874">
        <w:t>sleeping less than 7 hours</w:t>
      </w:r>
      <w:r w:rsidR="001E5228">
        <w:t xml:space="preserve"> on average</w:t>
      </w:r>
      <w:r w:rsidR="00634D3B">
        <w:t xml:space="preserve"> (calculated as a crude prevalence)</w:t>
      </w:r>
      <w:r w:rsidR="00337874">
        <w:t xml:space="preserve">. 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2A7E2899" w14:textId="3D81D7E5" w:rsidR="0051471E" w:rsidRDefault="0051471E" w:rsidP="0051471E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 xml:space="preserve">: </w:t>
      </w:r>
      <w:r w:rsidR="002249CE">
        <w:t>The Centers for Disease Control and Prevention (CDC)</w:t>
      </w:r>
      <w:r>
        <w:t xml:space="preserve"> Behavioral Risk Factor Surveillance System (</w:t>
      </w:r>
      <w:r w:rsidRPr="002F2AE8">
        <w:t>BRFSS</w:t>
      </w:r>
      <w:r>
        <w:t xml:space="preserve">), accessed via the </w:t>
      </w:r>
      <w:r w:rsidRPr="002F2AE8">
        <w:t>PLACES</w:t>
      </w:r>
      <w:r>
        <w:t xml:space="preserve"> Project Data Portal</w:t>
      </w:r>
    </w:p>
    <w:p w14:paraId="44E83A24" w14:textId="77777777" w:rsidR="0051471E" w:rsidRPr="00433CEA" w:rsidRDefault="0051471E" w:rsidP="0051471E">
      <w:pPr>
        <w:pStyle w:val="ListParagraph"/>
      </w:pPr>
      <w:r w:rsidRPr="009539F8">
        <w:rPr>
          <w:u w:val="single"/>
        </w:rPr>
        <w:t>Link to Source</w:t>
      </w:r>
      <w:r>
        <w:t xml:space="preserve">: </w:t>
      </w:r>
      <w:hyperlink r:id="rId11" w:history="1">
        <w:r w:rsidRPr="009539F8">
          <w:rPr>
            <w:rStyle w:val="Hyperlink"/>
            <w:rFonts w:ascii="Calibri" w:eastAsia="Times New Roman" w:hAnsi="Calibri" w:cs="Calibri"/>
            <w:sz w:val="22"/>
            <w:szCs w:val="22"/>
          </w:rPr>
          <w:t>https://chronicdata.cdc.gov/browse?category=500+Cities+%26+Places&amp;sortBy=newest&amp;utf8</w:t>
        </w:r>
      </w:hyperlink>
      <w:r w:rsidRPr="009539F8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42742AF0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D460CB">
        <w:t>2018</w:t>
      </w:r>
    </w:p>
    <w:p w14:paraId="169D6C46" w14:textId="2812697E" w:rsidR="002B6F8E" w:rsidRDefault="002B6F8E"/>
    <w:p w14:paraId="3A134C16" w14:textId="78E73021" w:rsidR="00DA16C3" w:rsidRDefault="003F19E3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2A6892">
        <w:t>Zip Code Tabulation Area (ZCTA)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07A04430" w:rsidR="003D1192" w:rsidRPr="00F8197B" w:rsidRDefault="00DA7EE5">
      <w:r>
        <w:rPr>
          <w:b/>
          <w:bCs/>
        </w:rPr>
        <w:t>Stratification</w:t>
      </w:r>
      <w:r w:rsidR="00F8197B">
        <w:t>:</w:t>
      </w:r>
      <w:r w:rsidR="00007510">
        <w:t xml:space="preserve"> </w:t>
      </w:r>
      <w:r w:rsidR="00D67AFD">
        <w:t>Not available</w:t>
      </w:r>
    </w:p>
    <w:p w14:paraId="76226322" w14:textId="3B492108" w:rsidR="002B6F8E" w:rsidRDefault="002B6F8E"/>
    <w:p w14:paraId="4F7874F1" w14:textId="279736E2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422C4B">
        <w:t xml:space="preserve">Chronic sleep deficiency </w:t>
      </w:r>
      <w:r w:rsidR="00CA70AF">
        <w:t xml:space="preserve">has been linked to various </w:t>
      </w:r>
      <w:r w:rsidR="00851258">
        <w:t xml:space="preserve">mental </w:t>
      </w:r>
      <w:r w:rsidR="00CA70AF">
        <w:t>health conditions</w:t>
      </w:r>
      <w:r w:rsidR="00C51769">
        <w:t>.</w:t>
      </w:r>
      <w:r w:rsidR="009E7D4C">
        <w:t xml:space="preserve"> This measure </w:t>
      </w:r>
      <w:r w:rsidR="00D67AFD">
        <w:t xml:space="preserve">also </w:t>
      </w:r>
      <w:r w:rsidR="000E4E4C">
        <w:t xml:space="preserve">contributes to measuring </w:t>
      </w:r>
      <w:r w:rsidR="00851258">
        <w:t xml:space="preserve">neighborhood level </w:t>
      </w:r>
      <w:r w:rsidR="009E7D4C">
        <w:t xml:space="preserve">social determinants of health </w:t>
      </w:r>
      <w:r w:rsidR="000E4E4C">
        <w:t>linked to mental wellness</w:t>
      </w:r>
      <w:r w:rsidR="00851258">
        <w:t xml:space="preserve"> such as neighborhood safety and environment</w:t>
      </w:r>
      <w:r w:rsidR="000E4E4C">
        <w:t xml:space="preserve">. </w:t>
      </w:r>
    </w:p>
    <w:p w14:paraId="799A9E64" w14:textId="77777777" w:rsidR="00EE4AEB" w:rsidRDefault="00EE4AEB">
      <w:pPr>
        <w:rPr>
          <w:b/>
          <w:bCs/>
        </w:rPr>
      </w:pPr>
    </w:p>
    <w:p w14:paraId="10D8FD63" w14:textId="2FC67D4A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64438476" w14:textId="2E712A8E" w:rsidR="00183C16" w:rsidRDefault="00183C16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>]</w:t>
      </w:r>
      <w:r w:rsidR="00C402C4">
        <w:rPr>
          <w:bCs/>
        </w:rPr>
        <w:t xml:space="preserve"> </w:t>
      </w:r>
      <w:r w:rsidR="003F139F">
        <w:rPr>
          <w:bCs/>
        </w:rPr>
        <w:t xml:space="preserve">Short sleep duration </w:t>
      </w:r>
      <w:r w:rsidR="007D6704">
        <w:rPr>
          <w:bCs/>
        </w:rPr>
        <w:t xml:space="preserve">has been found to be associated with </w:t>
      </w:r>
      <w:r w:rsidR="00782043">
        <w:rPr>
          <w:bCs/>
        </w:rPr>
        <w:t xml:space="preserve">increased incidence of </w:t>
      </w:r>
      <w:r w:rsidR="002A6BFB">
        <w:rPr>
          <w:bCs/>
        </w:rPr>
        <w:t>mental diso</w:t>
      </w:r>
      <w:r w:rsidR="00FD68EB">
        <w:rPr>
          <w:bCs/>
        </w:rPr>
        <w:t>r</w:t>
      </w:r>
      <w:r w:rsidR="002A6BFB">
        <w:rPr>
          <w:bCs/>
        </w:rPr>
        <w:t>ders</w:t>
      </w:r>
      <w:r w:rsidR="0021135C">
        <w:rPr>
          <w:bCs/>
        </w:rPr>
        <w:t xml:space="preserve"> and </w:t>
      </w:r>
      <w:r w:rsidR="00B1616F">
        <w:rPr>
          <w:bCs/>
        </w:rPr>
        <w:t xml:space="preserve">with a chronic trajectory of mental health </w:t>
      </w:r>
      <w:r w:rsidR="00D14EF6">
        <w:rPr>
          <w:bCs/>
        </w:rPr>
        <w:t>symptoms</w:t>
      </w:r>
      <w:r w:rsidR="003D4639">
        <w:rPr>
          <w:bCs/>
        </w:rPr>
        <w:t>.</w:t>
      </w:r>
      <w:r w:rsidR="003D4639">
        <w:rPr>
          <w:rStyle w:val="FootnoteReference"/>
          <w:bCs/>
        </w:rPr>
        <w:footnoteReference w:id="2"/>
      </w:r>
      <w:r w:rsidR="00D14EF6" w:rsidRPr="007B1E68">
        <w:rPr>
          <w:bCs/>
          <w:vertAlign w:val="superscript"/>
        </w:rPr>
        <w:t>,</w:t>
      </w:r>
      <w:r w:rsidR="00284134">
        <w:rPr>
          <w:rStyle w:val="FootnoteReference"/>
          <w:bCs/>
        </w:rPr>
        <w:footnoteReference w:id="3"/>
      </w:r>
      <w:r w:rsidR="00E968E4">
        <w:rPr>
          <w:bCs/>
          <w:vertAlign w:val="superscript"/>
        </w:rPr>
        <w:t xml:space="preserve"> </w:t>
      </w:r>
      <w:r w:rsidR="00E968E4">
        <w:rPr>
          <w:bCs/>
        </w:rPr>
        <w:t xml:space="preserve">Additionally, the prevalence of short sleep duration among working American adults is </w:t>
      </w:r>
      <w:r w:rsidR="00806A09">
        <w:rPr>
          <w:bCs/>
        </w:rPr>
        <w:t>increasing over time.</w:t>
      </w:r>
      <w:r w:rsidR="00E30223">
        <w:rPr>
          <w:rStyle w:val="FootnoteReference"/>
          <w:bCs/>
        </w:rPr>
        <w:footnoteReference w:id="4"/>
      </w:r>
    </w:p>
    <w:p w14:paraId="3B64E923" w14:textId="30FF2790" w:rsidR="00183C16" w:rsidRPr="00C402C4" w:rsidRDefault="00183C16" w:rsidP="00C402C4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>]</w:t>
      </w:r>
      <w:r w:rsidR="00C402C4">
        <w:rPr>
          <w:bCs/>
        </w:rPr>
        <w:t xml:space="preserve"> An adverse and unsafe neighborhood environment within a community has been linked with short sleep and low sleep efficiency, suggesting that environmental factors in a community can impact ability to achieve sufficient sleep.</w:t>
      </w:r>
      <w:r w:rsidR="00C402C4">
        <w:rPr>
          <w:rStyle w:val="FootnoteReference"/>
          <w:bCs/>
        </w:rPr>
        <w:footnoteReference w:id="5"/>
      </w:r>
      <w:r w:rsidR="00C402C4">
        <w:rPr>
          <w:bCs/>
        </w:rPr>
        <w:t xml:space="preserve"> </w:t>
      </w:r>
    </w:p>
    <w:p w14:paraId="4239826E" w14:textId="7231A061" w:rsidR="0089076D" w:rsidRPr="0089076D" w:rsidRDefault="00F86B69" w:rsidP="0089076D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lastRenderedPageBreak/>
        <w:t>[</w:t>
      </w:r>
      <w:r>
        <w:rPr>
          <w:bCs/>
          <w:i/>
          <w:iCs/>
        </w:rPr>
        <w:t>Equity</w:t>
      </w:r>
      <w:r>
        <w:rPr>
          <w:bCs/>
        </w:rPr>
        <w:t>]</w:t>
      </w:r>
      <w:r w:rsidR="009C0739">
        <w:rPr>
          <w:bCs/>
        </w:rPr>
        <w:t xml:space="preserve"> </w:t>
      </w:r>
      <w:r w:rsidR="00503D76">
        <w:rPr>
          <w:bCs/>
        </w:rPr>
        <w:t>V</w:t>
      </w:r>
      <w:r w:rsidR="001B06E0">
        <w:t xml:space="preserve">arious </w:t>
      </w:r>
      <w:r w:rsidR="00320F93">
        <w:t>studies</w:t>
      </w:r>
      <w:r w:rsidR="0089076D">
        <w:t xml:space="preserve"> have found that </w:t>
      </w:r>
      <w:r w:rsidR="001B06E0">
        <w:t xml:space="preserve">rates of short sleep </w:t>
      </w:r>
      <w:r w:rsidR="0089076D">
        <w:t>are higher among Black Americans than among other racial groups</w:t>
      </w:r>
      <w:r w:rsidR="004E42AD">
        <w:t xml:space="preserve">, emphasizing the importance of </w:t>
      </w:r>
      <w:r w:rsidR="002F73E0">
        <w:t xml:space="preserve">measuring insufficient sleep for </w:t>
      </w:r>
      <w:r w:rsidR="00657414">
        <w:t>this population</w:t>
      </w:r>
      <w:r w:rsidR="0089076D">
        <w:t>.</w:t>
      </w:r>
      <w:r w:rsidR="00637269">
        <w:rPr>
          <w:rStyle w:val="FootnoteReference"/>
        </w:rPr>
        <w:footnoteReference w:id="6"/>
      </w:r>
    </w:p>
    <w:p w14:paraId="24E712BE" w14:textId="0666C1A2" w:rsidR="00FE6665" w:rsidRPr="005D63FD" w:rsidRDefault="00FE6665" w:rsidP="00FE6665">
      <w:pPr>
        <w:pStyle w:val="ListParagraph"/>
        <w:numPr>
          <w:ilvl w:val="1"/>
          <w:numId w:val="14"/>
        </w:numPr>
        <w:rPr>
          <w:i/>
          <w:iCs/>
        </w:rPr>
      </w:pPr>
      <w:r w:rsidRPr="00FE6665">
        <w:t>[</w:t>
      </w:r>
      <w:r w:rsidRPr="00E96582">
        <w:rPr>
          <w:i/>
          <w:iCs/>
        </w:rPr>
        <w:t>Feasibility</w:t>
      </w:r>
      <w:r w:rsidRPr="00FE6665">
        <w:t>]</w:t>
      </w:r>
      <w:r w:rsidRPr="00E96582">
        <w:rPr>
          <w:i/>
          <w:iCs/>
        </w:rPr>
        <w:t xml:space="preserve"> </w:t>
      </w:r>
      <w:r>
        <w:rPr>
          <w:bCs/>
        </w:rPr>
        <w:t>BRFSS data is collected every year, and PLACES integrates the new data yearly. The data is easily downloadable.</w:t>
      </w:r>
      <w:r>
        <w:rPr>
          <w:rStyle w:val="FootnoteReference"/>
          <w:bCs/>
        </w:rPr>
        <w:t xml:space="preserve"> </w:t>
      </w:r>
    </w:p>
    <w:p w14:paraId="4FC6C569" w14:textId="506F6BE0" w:rsidR="00FE6665" w:rsidRPr="00616E8F" w:rsidRDefault="00FE6665" w:rsidP="00FE6665">
      <w:pPr>
        <w:pStyle w:val="ListParagraph"/>
        <w:numPr>
          <w:ilvl w:val="1"/>
          <w:numId w:val="14"/>
        </w:numPr>
        <w:rPr>
          <w:i/>
          <w:iCs/>
        </w:rPr>
      </w:pPr>
      <w:r w:rsidRPr="00FE6665">
        <w:t>[</w:t>
      </w:r>
      <w:r w:rsidRPr="00523D01">
        <w:rPr>
          <w:i/>
          <w:iCs/>
        </w:rPr>
        <w:t>Scientific Soundness</w:t>
      </w:r>
      <w:r w:rsidRPr="00FE6665">
        <w:t>]</w:t>
      </w:r>
      <w:r w:rsidRPr="00523D01">
        <w:rPr>
          <w:i/>
          <w:iCs/>
        </w:rPr>
        <w:t xml:space="preserve"> </w:t>
      </w:r>
      <w:r>
        <w:rPr>
          <w:bCs/>
        </w:rPr>
        <w:t xml:space="preserve">The methods used by the CDC to generate these small area estimates accounts </w:t>
      </w:r>
      <w:r w:rsidRPr="0042641F">
        <w:rPr>
          <w:bCs/>
        </w:rPr>
        <w:t>for the associations between individual health outcomes, individual characteristics, and spatial contexts</w:t>
      </w:r>
      <w:r>
        <w:rPr>
          <w:bCs/>
        </w:rPr>
        <w:t>. CDC’s internal and external validation studies confirm strong consistency between small area estimates and direct BRFSS survey estimates at state and county levels.</w:t>
      </w:r>
      <w:r>
        <w:rPr>
          <w:rStyle w:val="FootnoteReference"/>
          <w:bCs/>
        </w:rPr>
        <w:t xml:space="preserve"> </w:t>
      </w:r>
      <w:r>
        <w:rPr>
          <w:rStyle w:val="FootnoteReference"/>
          <w:bCs/>
        </w:rPr>
        <w:footnoteReference w:id="7"/>
      </w:r>
      <w:r w:rsidRPr="00F871F2">
        <w:rPr>
          <w:bCs/>
        </w:rPr>
        <w:t xml:space="preserve">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1A769579" w14:textId="0ADD398C" w:rsidR="00294646" w:rsidRDefault="00183C16" w:rsidP="00B21683">
      <w:pPr>
        <w:pStyle w:val="ListParagraph"/>
        <w:numPr>
          <w:ilvl w:val="1"/>
          <w:numId w:val="14"/>
        </w:numPr>
        <w:rPr>
          <w:bCs/>
        </w:rPr>
      </w:pPr>
      <w:r w:rsidRPr="00183C16">
        <w:rPr>
          <w:bCs/>
        </w:rPr>
        <w:t>[</w:t>
      </w:r>
      <w:r w:rsidRPr="00183C16">
        <w:rPr>
          <w:bCs/>
          <w:i/>
          <w:iCs/>
        </w:rPr>
        <w:t>Relevance and Usability</w:t>
      </w:r>
      <w:r w:rsidRPr="00183C16">
        <w:rPr>
          <w:bCs/>
        </w:rPr>
        <w:t xml:space="preserve">] </w:t>
      </w:r>
      <w:r w:rsidR="003063E1">
        <w:rPr>
          <w:bCs/>
        </w:rPr>
        <w:t xml:space="preserve">This measure only provides information about prevalence of short sleep </w:t>
      </w:r>
      <w:r w:rsidR="000B0B3E">
        <w:rPr>
          <w:bCs/>
        </w:rPr>
        <w:t>duration and</w:t>
      </w:r>
      <w:r w:rsidR="00294646">
        <w:rPr>
          <w:bCs/>
        </w:rPr>
        <w:t xml:space="preserve"> does not measure other sleep related issues such as </w:t>
      </w:r>
      <w:r w:rsidR="00CF5361">
        <w:rPr>
          <w:bCs/>
        </w:rPr>
        <w:t xml:space="preserve">insomnia symptoms, poor sleep quality, or long sleep duration (which can also be linked </w:t>
      </w:r>
      <w:r w:rsidR="00792490">
        <w:rPr>
          <w:bCs/>
        </w:rPr>
        <w:t xml:space="preserve">to mental health </w:t>
      </w:r>
      <w:r w:rsidR="00B71E62">
        <w:rPr>
          <w:bCs/>
        </w:rPr>
        <w:t xml:space="preserve">illnesses </w:t>
      </w:r>
      <w:r w:rsidR="00792490">
        <w:rPr>
          <w:bCs/>
        </w:rPr>
        <w:t>such as depression</w:t>
      </w:r>
      <w:r w:rsidR="009A2746">
        <w:rPr>
          <w:rStyle w:val="FootnoteReference"/>
          <w:bCs/>
        </w:rPr>
        <w:footnoteReference w:id="8"/>
      </w:r>
      <w:r w:rsidR="00792490">
        <w:rPr>
          <w:bCs/>
        </w:rPr>
        <w:t xml:space="preserve">). </w:t>
      </w:r>
    </w:p>
    <w:p w14:paraId="495D9931" w14:textId="77777777" w:rsidR="007252AB" w:rsidRPr="00616E8F" w:rsidRDefault="007252AB" w:rsidP="007252AB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Relevance and Usability</w:t>
      </w:r>
      <w:r w:rsidRPr="001E7882">
        <w:t>]</w:t>
      </w:r>
      <w:r w:rsidRPr="00616E8F">
        <w:rPr>
          <w:i/>
          <w:iCs/>
        </w:rPr>
        <w:t xml:space="preserve"> </w:t>
      </w:r>
      <w:r>
        <w:rPr>
          <w:bCs/>
        </w:rPr>
        <w:t>This measure is a model-based estimate</w:t>
      </w:r>
      <w:r>
        <w:rPr>
          <w:rStyle w:val="FootnoteReference"/>
          <w:bCs/>
        </w:rPr>
        <w:footnoteReference w:id="9"/>
      </w:r>
      <w:r>
        <w:rPr>
          <w:bCs/>
        </w:rPr>
        <w:t>, so it may be difficult to interpret on its own.</w:t>
      </w:r>
    </w:p>
    <w:p w14:paraId="26CABDBA" w14:textId="77777777" w:rsidR="007252AB" w:rsidRPr="00616E8F" w:rsidRDefault="007252AB" w:rsidP="007252AB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This measure is self-reported and depends on the accuracy of the person surveyed.</w:t>
      </w:r>
    </w:p>
    <w:p w14:paraId="4ADD42A4" w14:textId="77777777" w:rsidR="007252AB" w:rsidRPr="00616E8F" w:rsidRDefault="007252AB" w:rsidP="007252AB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Age adjusted prevalence is not available at the census tract level, so this data is reported as a crude prevalence.</w:t>
      </w:r>
      <w:r w:rsidRPr="00616E8F">
        <w:rPr>
          <w:i/>
          <w:iCs/>
        </w:rPr>
        <w:t xml:space="preserve"> </w:t>
      </w:r>
    </w:p>
    <w:p w14:paraId="2082DE2F" w14:textId="77777777" w:rsidR="000D5C93" w:rsidRPr="00AE261C" w:rsidRDefault="000D5C93">
      <w:pPr>
        <w:rPr>
          <w:b/>
          <w:bCs/>
        </w:rPr>
      </w:pPr>
    </w:p>
    <w:p w14:paraId="7305B90C" w14:textId="492CA5A2" w:rsidR="00A16408" w:rsidRPr="00D8742B" w:rsidRDefault="00523739" w:rsidP="00A16408">
      <w:r w:rsidRPr="00D8742B">
        <w:rPr>
          <w:b/>
          <w:bCs/>
        </w:rPr>
        <w:t xml:space="preserve">Default </w:t>
      </w:r>
      <w:r w:rsidR="00EC670E" w:rsidRPr="00D8742B">
        <w:rPr>
          <w:b/>
          <w:bCs/>
        </w:rPr>
        <w:t>Weight</w:t>
      </w:r>
      <w:r w:rsidR="00FA2ED2" w:rsidRPr="00D8742B">
        <w:t>:</w:t>
      </w:r>
      <w:r w:rsidR="00EC670E" w:rsidRPr="00D8742B">
        <w:rPr>
          <w:b/>
          <w:bCs/>
        </w:rPr>
        <w:t xml:space="preserve"> </w:t>
      </w:r>
      <w:r w:rsidR="00D8742B" w:rsidRPr="00D8742B">
        <w:t>2.5</w:t>
      </w:r>
      <w:r w:rsidR="00D8742B">
        <w:t xml:space="preserve">% </w:t>
      </w:r>
      <w:r w:rsidR="00D8742B" w:rsidRPr="00480C8D">
        <w:rPr>
          <w:sz w:val="20"/>
          <w:szCs w:val="20"/>
        </w:rPr>
        <w:t>(</w:t>
      </w:r>
      <w:r w:rsidR="00D8742B" w:rsidRPr="00480C8D">
        <w:rPr>
          <w:i/>
          <w:iCs/>
          <w:sz w:val="20"/>
          <w:szCs w:val="20"/>
        </w:rPr>
        <w:t>see Weighting Documentation for details on how default weights were assigned</w:t>
      </w:r>
      <w:r w:rsidR="00D8742B" w:rsidRPr="00480C8D">
        <w:rPr>
          <w:sz w:val="20"/>
          <w:szCs w:val="20"/>
        </w:rPr>
        <w:t>)</w:t>
      </w:r>
    </w:p>
    <w:p w14:paraId="4E0AAE59" w14:textId="77777777" w:rsidR="00FA2ED2" w:rsidRPr="00EE7D5C" w:rsidRDefault="00FA2ED2" w:rsidP="00A16408">
      <w:pPr>
        <w:rPr>
          <w:b/>
          <w:bCs/>
          <w:highlight w:val="yellow"/>
        </w:rPr>
      </w:pPr>
    </w:p>
    <w:p w14:paraId="400BBB33" w14:textId="6DBA896C" w:rsidR="00A16408" w:rsidRPr="00FA2ED2" w:rsidRDefault="00A16408" w:rsidP="00A16408">
      <w:r w:rsidRPr="00216F49">
        <w:rPr>
          <w:b/>
          <w:bCs/>
        </w:rPr>
        <w:t>Calculation</w:t>
      </w:r>
      <w:r w:rsidR="00FA2ED2">
        <w:t>:</w:t>
      </w:r>
    </w:p>
    <w:p w14:paraId="6C2DE52D" w14:textId="79CB2BC8" w:rsidR="00216F49" w:rsidRDefault="00216F49"/>
    <w:p w14:paraId="025B9CF5" w14:textId="1643B986" w:rsidR="000D16F8" w:rsidRPr="000A5FCA" w:rsidRDefault="000D16F8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Insufficient sleep 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Respondents aged ≥18 years who report usually getting insufficient sleep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Respondents aged ≥18 years who report 0-24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hours of sleep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**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 xml:space="preserve"> x 100%</m:t>
          </m:r>
        </m:oMath>
      </m:oMathPara>
    </w:p>
    <w:p w14:paraId="7E4009F6" w14:textId="77777777" w:rsidR="000D16F8" w:rsidRDefault="000D16F8"/>
    <w:p w14:paraId="17D8AE75" w14:textId="77777777" w:rsidR="008523D3" w:rsidRDefault="008523D3"/>
    <w:p w14:paraId="7583AA59" w14:textId="0F799824" w:rsidR="008523D3" w:rsidRDefault="00BC7E15">
      <w:r>
        <w:t>*</w:t>
      </w:r>
      <w:r w:rsidR="008523D3">
        <w:t>Where insufficient sleep is defined as</w:t>
      </w:r>
      <w:r w:rsidR="00AD5DD3">
        <w:t xml:space="preserve"> less than seven hours</w:t>
      </w:r>
      <w:r w:rsidR="00906A0B">
        <w:t xml:space="preserve">, on average, during a 24-hour period. </w:t>
      </w:r>
    </w:p>
    <w:p w14:paraId="428DE5ED" w14:textId="40CF1B7E" w:rsidR="00BC7E15" w:rsidRDefault="00BC7E15">
      <w:r>
        <w:t>**</w:t>
      </w:r>
      <w:r w:rsidR="0044446A">
        <w:t xml:space="preserve"> Denominator excludes those who </w:t>
      </w:r>
      <w:r w:rsidR="0044446A" w:rsidRPr="0044446A">
        <w:t xml:space="preserve">refused to answer, had a missing answer, or answered </w:t>
      </w:r>
      <w:r w:rsidR="006955C1" w:rsidRPr="00B115C5">
        <w:t>“don’t know</w:t>
      </w:r>
      <w:r w:rsidR="006955C1" w:rsidRPr="0094561A">
        <w:t>/not sure”.</w:t>
      </w:r>
      <w:r w:rsidR="006955C1" w:rsidRPr="0094561A">
        <w:rPr>
          <w:rStyle w:val="FootnoteReference"/>
        </w:rPr>
        <w:footnoteReference w:id="10"/>
      </w:r>
    </w:p>
    <w:p w14:paraId="3E844805" w14:textId="77777777" w:rsidR="00285932" w:rsidRPr="00FA2ED2" w:rsidRDefault="00285932" w:rsidP="00285932">
      <w:r w:rsidRPr="0043612D">
        <w:rPr>
          <w:b/>
          <w:bCs/>
        </w:rPr>
        <w:lastRenderedPageBreak/>
        <w:t>Methods</w:t>
      </w:r>
      <w:r>
        <w:t>:</w:t>
      </w:r>
    </w:p>
    <w:p w14:paraId="73CBC7F2" w14:textId="77777777" w:rsidR="00285932" w:rsidRDefault="00285932" w:rsidP="00285932">
      <w:pPr>
        <w:rPr>
          <w:b/>
          <w:bCs/>
        </w:rPr>
      </w:pPr>
      <w:r w:rsidRPr="00A50550">
        <w:t>BRFSS estimates the crude prevalence based on self-reports using small area estimation (SAE) and multilevel regression and poststratification (MRP) which links geocoded health surveys and high spatial resolution population demographic and socioeconomic data.</w:t>
      </w:r>
      <w:r>
        <w:rPr>
          <w:rStyle w:val="FootnoteReference"/>
        </w:rPr>
        <w:footnoteReference w:id="11"/>
      </w:r>
      <w:r w:rsidDel="007801A3">
        <w:t xml:space="preserve"> </w:t>
      </w: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8EBA" w14:textId="77777777" w:rsidR="000B4E2A" w:rsidRDefault="000B4E2A" w:rsidP="00621422">
      <w:r>
        <w:separator/>
      </w:r>
    </w:p>
  </w:endnote>
  <w:endnote w:type="continuationSeparator" w:id="0">
    <w:p w14:paraId="0332A873" w14:textId="77777777" w:rsidR="000B4E2A" w:rsidRDefault="000B4E2A" w:rsidP="00621422">
      <w:r>
        <w:continuationSeparator/>
      </w:r>
    </w:p>
  </w:endnote>
  <w:endnote w:type="continuationNotice" w:id="1">
    <w:p w14:paraId="291E54B1" w14:textId="77777777" w:rsidR="000B4E2A" w:rsidRDefault="000B4E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380C" w14:textId="77777777" w:rsidR="000B4E2A" w:rsidRDefault="000B4E2A" w:rsidP="00621422">
      <w:r>
        <w:separator/>
      </w:r>
    </w:p>
  </w:footnote>
  <w:footnote w:type="continuationSeparator" w:id="0">
    <w:p w14:paraId="77B04951" w14:textId="77777777" w:rsidR="000B4E2A" w:rsidRDefault="000B4E2A" w:rsidP="00621422">
      <w:r>
        <w:continuationSeparator/>
      </w:r>
    </w:p>
  </w:footnote>
  <w:footnote w:type="continuationNotice" w:id="1">
    <w:p w14:paraId="43E3E460" w14:textId="77777777" w:rsidR="000B4E2A" w:rsidRDefault="000B4E2A"/>
  </w:footnote>
  <w:footnote w:id="2">
    <w:p w14:paraId="56DEA139" w14:textId="2B63180F" w:rsidR="003D4639" w:rsidRDefault="003D4639" w:rsidP="003E7529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D4639">
        <w:t>Seow</w:t>
      </w:r>
      <w:proofErr w:type="spellEnd"/>
      <w:r w:rsidRPr="003D4639">
        <w:t xml:space="preserve"> LSE, Tan XW, Chong SA, </w:t>
      </w:r>
      <w:proofErr w:type="spellStart"/>
      <w:r w:rsidRPr="003D4639">
        <w:t>Vaingankar</w:t>
      </w:r>
      <w:proofErr w:type="spellEnd"/>
      <w:r w:rsidRPr="003D4639">
        <w:t xml:space="preserve"> JA, </w:t>
      </w:r>
      <w:proofErr w:type="spellStart"/>
      <w:r w:rsidRPr="003D4639">
        <w:t>Abdin</w:t>
      </w:r>
      <w:proofErr w:type="spellEnd"/>
      <w:r w:rsidRPr="003D4639">
        <w:t xml:space="preserve"> E, </w:t>
      </w:r>
      <w:proofErr w:type="spellStart"/>
      <w:r w:rsidRPr="003D4639">
        <w:t>Shafie</w:t>
      </w:r>
      <w:proofErr w:type="spellEnd"/>
      <w:r w:rsidRPr="003D4639">
        <w:t xml:space="preserve"> S, et al. (2020) Independent and combined associations of sleep duration and sleep quality with common physical and mental disorders: Results from a multi-ethnic population-based study.</w:t>
      </w:r>
      <w:r w:rsidRPr="003D4639">
        <w:rPr>
          <w:i/>
          <w:iCs/>
        </w:rPr>
        <w:t xml:space="preserve"> </w:t>
      </w:r>
      <w:proofErr w:type="spellStart"/>
      <w:r w:rsidRPr="003D4639">
        <w:rPr>
          <w:i/>
          <w:iCs/>
        </w:rPr>
        <w:t>PLoS</w:t>
      </w:r>
      <w:proofErr w:type="spellEnd"/>
      <w:r w:rsidRPr="003D4639">
        <w:rPr>
          <w:i/>
          <w:iCs/>
        </w:rPr>
        <w:t xml:space="preserve"> ONE</w:t>
      </w:r>
      <w:r w:rsidRPr="003D4639">
        <w:t xml:space="preserve"> 15(7): e0235816. </w:t>
      </w:r>
      <w:hyperlink r:id="rId1" w:history="1">
        <w:r w:rsidRPr="005D6B39">
          <w:rPr>
            <w:rStyle w:val="Hyperlink"/>
          </w:rPr>
          <w:t>https://doi.org/10.1371/journal.pone.0235816</w:t>
        </w:r>
      </w:hyperlink>
      <w:r>
        <w:t xml:space="preserve"> </w:t>
      </w:r>
    </w:p>
  </w:footnote>
  <w:footnote w:id="3">
    <w:p w14:paraId="4EC5AFA3" w14:textId="1B36C524" w:rsidR="00284134" w:rsidRDefault="00284134" w:rsidP="003E7529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284134">
        <w:t xml:space="preserve">Biddle, D. J., </w:t>
      </w:r>
      <w:proofErr w:type="spellStart"/>
      <w:r w:rsidRPr="00284134">
        <w:t>Hermens</w:t>
      </w:r>
      <w:proofErr w:type="spellEnd"/>
      <w:r w:rsidRPr="00284134">
        <w:t xml:space="preserve">, D. F., </w:t>
      </w:r>
      <w:proofErr w:type="spellStart"/>
      <w:r w:rsidRPr="00284134">
        <w:t>Lallukka</w:t>
      </w:r>
      <w:proofErr w:type="spellEnd"/>
      <w:r w:rsidRPr="00284134">
        <w:t xml:space="preserve">, T., Aji, M., &amp; </w:t>
      </w:r>
      <w:proofErr w:type="spellStart"/>
      <w:r w:rsidRPr="00284134">
        <w:t>Glozier</w:t>
      </w:r>
      <w:proofErr w:type="spellEnd"/>
      <w:r w:rsidRPr="00284134">
        <w:t xml:space="preserve">, N. (2019). Insomnia symptoms and short sleep duration predict trajectory of mental health symptoms. </w:t>
      </w:r>
      <w:r w:rsidRPr="003A7036">
        <w:rPr>
          <w:i/>
          <w:iCs/>
        </w:rPr>
        <w:t>Sleep medicine</w:t>
      </w:r>
      <w:r w:rsidRPr="00284134">
        <w:t xml:space="preserve">, 54, 53–61. </w:t>
      </w:r>
      <w:hyperlink r:id="rId2" w:history="1">
        <w:r w:rsidRPr="005D6B39">
          <w:rPr>
            <w:rStyle w:val="Hyperlink"/>
          </w:rPr>
          <w:t>https://doi.org/10.1016/j.sleep.2018.10.008</w:t>
        </w:r>
      </w:hyperlink>
      <w:r>
        <w:t xml:space="preserve"> </w:t>
      </w:r>
    </w:p>
  </w:footnote>
  <w:footnote w:id="4">
    <w:p w14:paraId="467A6108" w14:textId="47909476" w:rsidR="00E30223" w:rsidRDefault="00E30223" w:rsidP="003E7529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30223">
        <w:t>Khubchandani</w:t>
      </w:r>
      <w:proofErr w:type="spellEnd"/>
      <w:r w:rsidRPr="00E30223">
        <w:t xml:space="preserve">, J., Price, J.H. </w:t>
      </w:r>
      <w:r w:rsidR="001F5286">
        <w:t xml:space="preserve">(2020) </w:t>
      </w:r>
      <w:r w:rsidRPr="00E30223">
        <w:t xml:space="preserve">Short Sleep Duration in Working American Adults, 2010–2018. </w:t>
      </w:r>
      <w:r w:rsidRPr="00E30223">
        <w:rPr>
          <w:i/>
          <w:iCs/>
        </w:rPr>
        <w:t>J Community Health</w:t>
      </w:r>
      <w:r w:rsidRPr="00E30223">
        <w:t xml:space="preserve"> 45, 219–227. </w:t>
      </w:r>
      <w:hyperlink r:id="rId3" w:history="1">
        <w:r w:rsidRPr="005D6B39">
          <w:rPr>
            <w:rStyle w:val="Hyperlink"/>
          </w:rPr>
          <w:t>https://doi.org/10.1007/s10900-019-00731-9</w:t>
        </w:r>
      </w:hyperlink>
      <w:r>
        <w:t xml:space="preserve"> </w:t>
      </w:r>
    </w:p>
  </w:footnote>
  <w:footnote w:id="5">
    <w:p w14:paraId="553979BE" w14:textId="77777777" w:rsidR="00C402C4" w:rsidRDefault="00C402C4" w:rsidP="003E7529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D525C6">
        <w:t xml:space="preserve">Simonelli, G., Dudley, K. A., Weng, J., Gallo, L. C., </w:t>
      </w:r>
      <w:proofErr w:type="spellStart"/>
      <w:r w:rsidRPr="00D525C6">
        <w:t>Perreira</w:t>
      </w:r>
      <w:proofErr w:type="spellEnd"/>
      <w:r w:rsidRPr="00D525C6">
        <w:t xml:space="preserve">, K., Shah, N. A., Alcantara, C., Zee, P. C., Ramos, A. R., </w:t>
      </w:r>
      <w:proofErr w:type="spellStart"/>
      <w:r w:rsidRPr="00D525C6">
        <w:t>Llabre</w:t>
      </w:r>
      <w:proofErr w:type="spellEnd"/>
      <w:r w:rsidRPr="00D525C6">
        <w:t xml:space="preserve">, M. M., </w:t>
      </w:r>
      <w:proofErr w:type="spellStart"/>
      <w:r w:rsidRPr="00D525C6">
        <w:t>Sotres</w:t>
      </w:r>
      <w:proofErr w:type="spellEnd"/>
      <w:r w:rsidRPr="00D525C6">
        <w:t xml:space="preserve">-Alvarez, D., Wang, R., &amp; Patel, S. R. (2017). Neighborhood Factors as Predictors of Poor Sleep in the </w:t>
      </w:r>
      <w:proofErr w:type="spellStart"/>
      <w:r w:rsidRPr="00D525C6">
        <w:t>Sueño</w:t>
      </w:r>
      <w:proofErr w:type="spellEnd"/>
      <w:r w:rsidRPr="00D525C6">
        <w:t xml:space="preserve"> Ancillary Study of the Hispanic Community Health Study/Study of Latinos. </w:t>
      </w:r>
      <w:r w:rsidRPr="00D525C6">
        <w:rPr>
          <w:i/>
          <w:iCs/>
        </w:rPr>
        <w:t>Sleep</w:t>
      </w:r>
      <w:r w:rsidRPr="00D525C6">
        <w:t xml:space="preserve">, 40(1), zsw025. </w:t>
      </w:r>
      <w:hyperlink r:id="rId4" w:history="1">
        <w:r w:rsidRPr="005D6B39">
          <w:rPr>
            <w:rStyle w:val="Hyperlink"/>
          </w:rPr>
          <w:t>https://doi.org/10.1093/sleep/zsw025</w:t>
        </w:r>
      </w:hyperlink>
      <w:r>
        <w:t xml:space="preserve"> </w:t>
      </w:r>
    </w:p>
  </w:footnote>
  <w:footnote w:id="6">
    <w:p w14:paraId="275C2A4C" w14:textId="1D541D56" w:rsidR="00637269" w:rsidRPr="00DA7EE5" w:rsidRDefault="00637269" w:rsidP="00A77B8A">
      <w:pPr>
        <w:pStyle w:val="FootnoteText"/>
        <w:ind w:left="720" w:hanging="720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 w:rsidR="00C07677" w:rsidRPr="000A5FCA">
        <w:rPr>
          <w:rFonts w:cstheme="minorHAnsi"/>
          <w:color w:val="303030"/>
          <w:shd w:val="clear" w:color="auto" w:fill="FFFFFF"/>
        </w:rPr>
        <w:t>Kingsbury, J. H., Buxton, O. M., &amp; Emmons, K. M. (2013). Sleep and its Relationship to Racial and Ethnic Disparities in Cardiovascular Disease. </w:t>
      </w:r>
      <w:r w:rsidR="00C07677" w:rsidRPr="000A5FCA">
        <w:rPr>
          <w:rFonts w:cstheme="minorHAnsi"/>
          <w:i/>
          <w:iCs/>
          <w:color w:val="303030"/>
          <w:shd w:val="clear" w:color="auto" w:fill="FFFFFF"/>
        </w:rPr>
        <w:t>Current cardiovascular risk reports</w:t>
      </w:r>
      <w:r w:rsidR="00C07677" w:rsidRPr="000A5FCA">
        <w:rPr>
          <w:rFonts w:cstheme="minorHAnsi"/>
          <w:color w:val="303030"/>
          <w:shd w:val="clear" w:color="auto" w:fill="FFFFFF"/>
        </w:rPr>
        <w:t>, </w:t>
      </w:r>
      <w:r w:rsidR="00C07677" w:rsidRPr="000A5FCA">
        <w:rPr>
          <w:rFonts w:cstheme="minorHAnsi"/>
          <w:i/>
          <w:iCs/>
          <w:color w:val="303030"/>
          <w:shd w:val="clear" w:color="auto" w:fill="FFFFFF"/>
        </w:rPr>
        <w:t>7</w:t>
      </w:r>
      <w:r w:rsidR="00C07677" w:rsidRPr="000A5FCA">
        <w:rPr>
          <w:rFonts w:cstheme="minorHAnsi"/>
          <w:color w:val="303030"/>
          <w:shd w:val="clear" w:color="auto" w:fill="FFFFFF"/>
        </w:rPr>
        <w:t xml:space="preserve">(5), 10.1007/s12170-013-0330-0. </w:t>
      </w:r>
      <w:hyperlink r:id="rId5" w:history="1">
        <w:r w:rsidR="00C07677" w:rsidRPr="000A5FCA">
          <w:rPr>
            <w:rStyle w:val="Hyperlink"/>
            <w:rFonts w:cstheme="minorHAnsi"/>
            <w:shd w:val="clear" w:color="auto" w:fill="FFFFFF"/>
          </w:rPr>
          <w:t>https://doi.org/10.1007/s12170-013-0330-0</w:t>
        </w:r>
      </w:hyperlink>
      <w:r w:rsidR="00C07677" w:rsidRPr="000A5FCA">
        <w:rPr>
          <w:rFonts w:cstheme="minorHAnsi"/>
          <w:color w:val="303030"/>
          <w:shd w:val="clear" w:color="auto" w:fill="FFFFFF"/>
        </w:rPr>
        <w:t xml:space="preserve"> </w:t>
      </w:r>
    </w:p>
  </w:footnote>
  <w:footnote w:id="7">
    <w:p w14:paraId="1F752474" w14:textId="77777777" w:rsidR="00FE6665" w:rsidRDefault="00FE6665" w:rsidP="00FE6665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 w:rsidRPr="00F47038">
        <w:rPr>
          <w:i/>
          <w:iCs/>
        </w:rPr>
        <w:t>PLACES</w:t>
      </w:r>
      <w:r>
        <w:t xml:space="preserve"> </w:t>
      </w:r>
      <w:r>
        <w:rPr>
          <w:i/>
          <w:iCs/>
        </w:rPr>
        <w:t>Methodology</w:t>
      </w:r>
      <w:proofErr w:type="gramStart"/>
      <w:r>
        <w:t xml:space="preserve">.  </w:t>
      </w:r>
      <w:proofErr w:type="gramEnd"/>
      <w:r w:rsidR="000B4E2A">
        <w:fldChar w:fldCharType="begin"/>
      </w:r>
      <w:r w:rsidR="000B4E2A">
        <w:instrText xml:space="preserve"> HYPERLINK "https://www.cdc.gov/pl</w:instrText>
      </w:r>
      <w:r w:rsidR="000B4E2A">
        <w:instrText xml:space="preserve">aces/methodology/" </w:instrText>
      </w:r>
      <w:r w:rsidR="000B4E2A">
        <w:fldChar w:fldCharType="separate"/>
      </w:r>
      <w:r w:rsidRPr="009B5274">
        <w:rPr>
          <w:rStyle w:val="Hyperlink"/>
        </w:rPr>
        <w:t>https://www.cdc.gov/places/methodology/</w:t>
      </w:r>
      <w:r w:rsidR="000B4E2A">
        <w:rPr>
          <w:rStyle w:val="Hyperlink"/>
        </w:rPr>
        <w:fldChar w:fldCharType="end"/>
      </w:r>
      <w:r>
        <w:t xml:space="preserve"> </w:t>
      </w:r>
    </w:p>
  </w:footnote>
  <w:footnote w:id="8">
    <w:p w14:paraId="0C7F04CA" w14:textId="5AF7A187" w:rsidR="009A2746" w:rsidRDefault="009A2746" w:rsidP="00A77B8A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9A2746">
        <w:t xml:space="preserve">Patel, S. R., Malhotra, A., Gottlieb, D. J., White, D. P., &amp; Hu, F. B. (2006). Correlates of long sleep duration. </w:t>
      </w:r>
      <w:r w:rsidRPr="009A2746">
        <w:rPr>
          <w:i/>
          <w:iCs/>
        </w:rPr>
        <w:t>Sleep</w:t>
      </w:r>
      <w:r w:rsidRPr="009A2746">
        <w:t xml:space="preserve">, 29(7), 881–889. </w:t>
      </w:r>
      <w:hyperlink r:id="rId6" w:history="1">
        <w:r w:rsidRPr="005D6B39">
          <w:rPr>
            <w:rStyle w:val="Hyperlink"/>
          </w:rPr>
          <w:t>https://doi.org/10.1093/sleep/29.7.881</w:t>
        </w:r>
      </w:hyperlink>
      <w:r>
        <w:t xml:space="preserve"> </w:t>
      </w:r>
    </w:p>
  </w:footnote>
  <w:footnote w:id="9">
    <w:p w14:paraId="25525EA7" w14:textId="77777777" w:rsidR="007252AB" w:rsidRDefault="007252AB" w:rsidP="007252A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 w:rsidRPr="00F47038">
        <w:rPr>
          <w:i/>
          <w:iCs/>
        </w:rPr>
        <w:t>PLACES</w:t>
      </w:r>
      <w:r>
        <w:t xml:space="preserve"> </w:t>
      </w:r>
      <w:r>
        <w:rPr>
          <w:i/>
          <w:iCs/>
        </w:rPr>
        <w:t>Methodology</w:t>
      </w:r>
      <w:r>
        <w:t xml:space="preserve">. </w:t>
      </w:r>
      <w:hyperlink r:id="rId7" w:history="1">
        <w:r w:rsidRPr="009B5274">
          <w:rPr>
            <w:rStyle w:val="Hyperlink"/>
          </w:rPr>
          <w:t>https://www.cdc.gov/places/methodology/</w:t>
        </w:r>
      </w:hyperlink>
    </w:p>
  </w:footnote>
  <w:footnote w:id="10">
    <w:p w14:paraId="645E86A4" w14:textId="77777777" w:rsidR="006955C1" w:rsidRPr="006003AE" w:rsidRDefault="006955C1" w:rsidP="006955C1">
      <w:pPr>
        <w:ind w:left="720" w:hanging="720"/>
        <w:rPr>
          <w:sz w:val="18"/>
          <w:szCs w:val="18"/>
        </w:rPr>
      </w:pPr>
      <w:r w:rsidRPr="008935D2">
        <w:rPr>
          <w:sz w:val="20"/>
          <w:szCs w:val="20"/>
          <w:vertAlign w:val="superscript"/>
        </w:rPr>
        <w:footnoteRef/>
      </w:r>
      <w:r w:rsidRPr="008935D2">
        <w:rPr>
          <w:sz w:val="20"/>
          <w:szCs w:val="20"/>
        </w:rPr>
        <w:t xml:space="preserve"> Centers for Disease Control and Prevention. (2020, December 8). </w:t>
      </w:r>
      <w:r w:rsidRPr="008935D2">
        <w:rPr>
          <w:i/>
          <w:iCs/>
          <w:sz w:val="20"/>
          <w:szCs w:val="20"/>
        </w:rPr>
        <w:t>PLACES Measure Definitions</w:t>
      </w:r>
      <w:proofErr w:type="gramStart"/>
      <w:r w:rsidRPr="008935D2">
        <w:rPr>
          <w:sz w:val="20"/>
          <w:szCs w:val="20"/>
        </w:rPr>
        <w:t xml:space="preserve">.  </w:t>
      </w:r>
      <w:proofErr w:type="gramEnd"/>
      <w:hyperlink r:id="rId8" w:history="1">
        <w:r w:rsidRPr="008935D2">
          <w:rPr>
            <w:rStyle w:val="Hyperlink"/>
            <w:sz w:val="20"/>
            <w:szCs w:val="20"/>
          </w:rPr>
          <w:t>https://www.cdc.gov/places/measure-definitions</w:t>
        </w:r>
      </w:hyperlink>
      <w:r>
        <w:rPr>
          <w:sz w:val="18"/>
          <w:szCs w:val="18"/>
        </w:rPr>
        <w:t xml:space="preserve"> </w:t>
      </w:r>
    </w:p>
  </w:footnote>
  <w:footnote w:id="11">
    <w:p w14:paraId="5AFB54BB" w14:textId="332D1CE8" w:rsidR="00285932" w:rsidRDefault="00285932" w:rsidP="00285932">
      <w:pPr>
        <w:pStyle w:val="FootnoteText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>
        <w:rPr>
          <w:i/>
          <w:iCs/>
        </w:rPr>
        <w:t>PLACES Methodology</w:t>
      </w:r>
      <w:r>
        <w:t xml:space="preserve">. </w:t>
      </w:r>
      <w:hyperlink r:id="rId9" w:history="1">
        <w:r w:rsidR="000D16F8" w:rsidRPr="00555D49">
          <w:rPr>
            <w:rStyle w:val="Hyperlink"/>
          </w:rPr>
          <w:t>https://www.cdc.gov/places/methodology/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EB32978A"/>
    <w:lvl w:ilvl="0" w:tplc="2FA2A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8633F"/>
    <w:multiLevelType w:val="hybridMultilevel"/>
    <w:tmpl w:val="488C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0E12"/>
    <w:rsid w:val="00005E13"/>
    <w:rsid w:val="00007510"/>
    <w:rsid w:val="00010A16"/>
    <w:rsid w:val="00026601"/>
    <w:rsid w:val="00071A24"/>
    <w:rsid w:val="00082B14"/>
    <w:rsid w:val="00082C3D"/>
    <w:rsid w:val="0008657A"/>
    <w:rsid w:val="000905B5"/>
    <w:rsid w:val="000A5FCA"/>
    <w:rsid w:val="000B0048"/>
    <w:rsid w:val="000B0B3E"/>
    <w:rsid w:val="000B2D9B"/>
    <w:rsid w:val="000B4E2A"/>
    <w:rsid w:val="000B7A80"/>
    <w:rsid w:val="000D16F8"/>
    <w:rsid w:val="000D5C93"/>
    <w:rsid w:val="000E4E4C"/>
    <w:rsid w:val="000F2278"/>
    <w:rsid w:val="00106957"/>
    <w:rsid w:val="00115761"/>
    <w:rsid w:val="00143CCB"/>
    <w:rsid w:val="00144D3F"/>
    <w:rsid w:val="0016240B"/>
    <w:rsid w:val="001716CF"/>
    <w:rsid w:val="00180268"/>
    <w:rsid w:val="00181F4B"/>
    <w:rsid w:val="00183C16"/>
    <w:rsid w:val="00190959"/>
    <w:rsid w:val="00196195"/>
    <w:rsid w:val="001B06E0"/>
    <w:rsid w:val="001B437D"/>
    <w:rsid w:val="001B5F77"/>
    <w:rsid w:val="001B6722"/>
    <w:rsid w:val="001E5228"/>
    <w:rsid w:val="001F5286"/>
    <w:rsid w:val="0021135C"/>
    <w:rsid w:val="00216F49"/>
    <w:rsid w:val="002249CE"/>
    <w:rsid w:val="00247C44"/>
    <w:rsid w:val="00255316"/>
    <w:rsid w:val="002649BE"/>
    <w:rsid w:val="00270F6B"/>
    <w:rsid w:val="00282585"/>
    <w:rsid w:val="00284134"/>
    <w:rsid w:val="00285932"/>
    <w:rsid w:val="00294646"/>
    <w:rsid w:val="00297759"/>
    <w:rsid w:val="002A6892"/>
    <w:rsid w:val="002A6BFB"/>
    <w:rsid w:val="002B6F8E"/>
    <w:rsid w:val="002D31E1"/>
    <w:rsid w:val="002F73E0"/>
    <w:rsid w:val="00302737"/>
    <w:rsid w:val="003063E1"/>
    <w:rsid w:val="00313870"/>
    <w:rsid w:val="00317552"/>
    <w:rsid w:val="00317631"/>
    <w:rsid w:val="00320E5B"/>
    <w:rsid w:val="00320F93"/>
    <w:rsid w:val="003232FE"/>
    <w:rsid w:val="00326F71"/>
    <w:rsid w:val="00337874"/>
    <w:rsid w:val="003628E7"/>
    <w:rsid w:val="003A178B"/>
    <w:rsid w:val="003A2AA6"/>
    <w:rsid w:val="003A7036"/>
    <w:rsid w:val="003C7FF1"/>
    <w:rsid w:val="003D1192"/>
    <w:rsid w:val="003D4639"/>
    <w:rsid w:val="003E542E"/>
    <w:rsid w:val="003E7519"/>
    <w:rsid w:val="003E7529"/>
    <w:rsid w:val="003F139F"/>
    <w:rsid w:val="003F19E3"/>
    <w:rsid w:val="003F50AD"/>
    <w:rsid w:val="004065F2"/>
    <w:rsid w:val="00412D30"/>
    <w:rsid w:val="00422C4B"/>
    <w:rsid w:val="00433CEA"/>
    <w:rsid w:val="0043612D"/>
    <w:rsid w:val="0044446A"/>
    <w:rsid w:val="00446373"/>
    <w:rsid w:val="00453EF9"/>
    <w:rsid w:val="004559BB"/>
    <w:rsid w:val="0046473D"/>
    <w:rsid w:val="004A7A66"/>
    <w:rsid w:val="004A7D20"/>
    <w:rsid w:val="004C1E94"/>
    <w:rsid w:val="004C6691"/>
    <w:rsid w:val="004E42AD"/>
    <w:rsid w:val="004E6B6F"/>
    <w:rsid w:val="004F2CF5"/>
    <w:rsid w:val="00501B20"/>
    <w:rsid w:val="00503D76"/>
    <w:rsid w:val="0051471E"/>
    <w:rsid w:val="0052056B"/>
    <w:rsid w:val="00523739"/>
    <w:rsid w:val="00541485"/>
    <w:rsid w:val="005427A4"/>
    <w:rsid w:val="005429A8"/>
    <w:rsid w:val="00546906"/>
    <w:rsid w:val="00547A78"/>
    <w:rsid w:val="00550602"/>
    <w:rsid w:val="005A0E84"/>
    <w:rsid w:val="00601594"/>
    <w:rsid w:val="00611F3D"/>
    <w:rsid w:val="00621422"/>
    <w:rsid w:val="00634D3B"/>
    <w:rsid w:val="00637269"/>
    <w:rsid w:val="006411AF"/>
    <w:rsid w:val="00657414"/>
    <w:rsid w:val="00660E1B"/>
    <w:rsid w:val="00661634"/>
    <w:rsid w:val="00694C94"/>
    <w:rsid w:val="006955C1"/>
    <w:rsid w:val="006B06E3"/>
    <w:rsid w:val="006B19EB"/>
    <w:rsid w:val="006D63D8"/>
    <w:rsid w:val="006E19F6"/>
    <w:rsid w:val="006F6463"/>
    <w:rsid w:val="0070276E"/>
    <w:rsid w:val="0070453F"/>
    <w:rsid w:val="00717E59"/>
    <w:rsid w:val="007252AB"/>
    <w:rsid w:val="00774EC9"/>
    <w:rsid w:val="00782043"/>
    <w:rsid w:val="00792490"/>
    <w:rsid w:val="00795835"/>
    <w:rsid w:val="007A0974"/>
    <w:rsid w:val="007A27EE"/>
    <w:rsid w:val="007B1E68"/>
    <w:rsid w:val="007C5A29"/>
    <w:rsid w:val="007D09A4"/>
    <w:rsid w:val="007D6704"/>
    <w:rsid w:val="007E2D07"/>
    <w:rsid w:val="00806A09"/>
    <w:rsid w:val="0081035A"/>
    <w:rsid w:val="008277ED"/>
    <w:rsid w:val="00834819"/>
    <w:rsid w:val="00841D17"/>
    <w:rsid w:val="00851258"/>
    <w:rsid w:val="008523D3"/>
    <w:rsid w:val="0087007A"/>
    <w:rsid w:val="0089076D"/>
    <w:rsid w:val="008B110E"/>
    <w:rsid w:val="008E6E54"/>
    <w:rsid w:val="009014F7"/>
    <w:rsid w:val="009054A9"/>
    <w:rsid w:val="00906A0B"/>
    <w:rsid w:val="009245F3"/>
    <w:rsid w:val="00930000"/>
    <w:rsid w:val="009372D5"/>
    <w:rsid w:val="009A2746"/>
    <w:rsid w:val="009B059E"/>
    <w:rsid w:val="009C0739"/>
    <w:rsid w:val="009E56D4"/>
    <w:rsid w:val="009E7D4C"/>
    <w:rsid w:val="009F60A8"/>
    <w:rsid w:val="00A16408"/>
    <w:rsid w:val="00A31860"/>
    <w:rsid w:val="00A34BBA"/>
    <w:rsid w:val="00A73104"/>
    <w:rsid w:val="00A75AB7"/>
    <w:rsid w:val="00A77B8A"/>
    <w:rsid w:val="00A85E6C"/>
    <w:rsid w:val="00A86ECD"/>
    <w:rsid w:val="00A950ED"/>
    <w:rsid w:val="00A96381"/>
    <w:rsid w:val="00AA30DA"/>
    <w:rsid w:val="00AA5A28"/>
    <w:rsid w:val="00AA5AB9"/>
    <w:rsid w:val="00AB5702"/>
    <w:rsid w:val="00AC2579"/>
    <w:rsid w:val="00AC3DA4"/>
    <w:rsid w:val="00AD5DD3"/>
    <w:rsid w:val="00AD5F33"/>
    <w:rsid w:val="00AE261C"/>
    <w:rsid w:val="00AF01CB"/>
    <w:rsid w:val="00B06E73"/>
    <w:rsid w:val="00B105B2"/>
    <w:rsid w:val="00B1616F"/>
    <w:rsid w:val="00B21683"/>
    <w:rsid w:val="00B4758F"/>
    <w:rsid w:val="00B64FA2"/>
    <w:rsid w:val="00B67A16"/>
    <w:rsid w:val="00B71E62"/>
    <w:rsid w:val="00B760FC"/>
    <w:rsid w:val="00B77980"/>
    <w:rsid w:val="00B93EF2"/>
    <w:rsid w:val="00BA13CF"/>
    <w:rsid w:val="00BB551D"/>
    <w:rsid w:val="00BC7E15"/>
    <w:rsid w:val="00BD0AC7"/>
    <w:rsid w:val="00BD2914"/>
    <w:rsid w:val="00BE20A4"/>
    <w:rsid w:val="00BF135F"/>
    <w:rsid w:val="00C07677"/>
    <w:rsid w:val="00C115DD"/>
    <w:rsid w:val="00C27DE0"/>
    <w:rsid w:val="00C402C4"/>
    <w:rsid w:val="00C51769"/>
    <w:rsid w:val="00C63158"/>
    <w:rsid w:val="00C63621"/>
    <w:rsid w:val="00C660C4"/>
    <w:rsid w:val="00C674A9"/>
    <w:rsid w:val="00C755D7"/>
    <w:rsid w:val="00C8203C"/>
    <w:rsid w:val="00CA70AF"/>
    <w:rsid w:val="00CC6FD7"/>
    <w:rsid w:val="00CE1BB6"/>
    <w:rsid w:val="00CE59E3"/>
    <w:rsid w:val="00CF3CCE"/>
    <w:rsid w:val="00CF5361"/>
    <w:rsid w:val="00D04485"/>
    <w:rsid w:val="00D07D4C"/>
    <w:rsid w:val="00D14EF6"/>
    <w:rsid w:val="00D2343A"/>
    <w:rsid w:val="00D268F7"/>
    <w:rsid w:val="00D44CAC"/>
    <w:rsid w:val="00D460CB"/>
    <w:rsid w:val="00D525C6"/>
    <w:rsid w:val="00D67AFD"/>
    <w:rsid w:val="00D73B5B"/>
    <w:rsid w:val="00D85C3D"/>
    <w:rsid w:val="00D86473"/>
    <w:rsid w:val="00D8742B"/>
    <w:rsid w:val="00D91112"/>
    <w:rsid w:val="00D94BD6"/>
    <w:rsid w:val="00D9725E"/>
    <w:rsid w:val="00DA16C3"/>
    <w:rsid w:val="00DA7EE5"/>
    <w:rsid w:val="00DC026F"/>
    <w:rsid w:val="00DC487E"/>
    <w:rsid w:val="00DD5D6C"/>
    <w:rsid w:val="00DF0361"/>
    <w:rsid w:val="00DF1559"/>
    <w:rsid w:val="00DF1B70"/>
    <w:rsid w:val="00E21A26"/>
    <w:rsid w:val="00E25B4C"/>
    <w:rsid w:val="00E30223"/>
    <w:rsid w:val="00E34396"/>
    <w:rsid w:val="00E56DFB"/>
    <w:rsid w:val="00E65BDA"/>
    <w:rsid w:val="00E675E3"/>
    <w:rsid w:val="00E7035E"/>
    <w:rsid w:val="00E70D5B"/>
    <w:rsid w:val="00E775B6"/>
    <w:rsid w:val="00E82258"/>
    <w:rsid w:val="00E85956"/>
    <w:rsid w:val="00E968E4"/>
    <w:rsid w:val="00E97D29"/>
    <w:rsid w:val="00EA1E4D"/>
    <w:rsid w:val="00EA3407"/>
    <w:rsid w:val="00EA3FE4"/>
    <w:rsid w:val="00EC4349"/>
    <w:rsid w:val="00EC670E"/>
    <w:rsid w:val="00ED355C"/>
    <w:rsid w:val="00ED5DD3"/>
    <w:rsid w:val="00ED6351"/>
    <w:rsid w:val="00EE4AEB"/>
    <w:rsid w:val="00EE5730"/>
    <w:rsid w:val="00EE6FA1"/>
    <w:rsid w:val="00EE7D5C"/>
    <w:rsid w:val="00F2637A"/>
    <w:rsid w:val="00F43C8F"/>
    <w:rsid w:val="00F6007F"/>
    <w:rsid w:val="00F65AE5"/>
    <w:rsid w:val="00F8197B"/>
    <w:rsid w:val="00F82373"/>
    <w:rsid w:val="00F86B69"/>
    <w:rsid w:val="00F94A4F"/>
    <w:rsid w:val="00F9612D"/>
    <w:rsid w:val="00FA2DEE"/>
    <w:rsid w:val="00FA2ED2"/>
    <w:rsid w:val="00FB05D3"/>
    <w:rsid w:val="00FB5343"/>
    <w:rsid w:val="00FD68EB"/>
    <w:rsid w:val="00FE0C37"/>
    <w:rsid w:val="00FE6665"/>
    <w:rsid w:val="00FE6C36"/>
    <w:rsid w:val="00FF2D1E"/>
    <w:rsid w:val="00FF69A2"/>
    <w:rsid w:val="035F0458"/>
    <w:rsid w:val="07BBB211"/>
    <w:rsid w:val="2B33FC68"/>
    <w:rsid w:val="2C5C995A"/>
    <w:rsid w:val="2CCEB30C"/>
    <w:rsid w:val="2FA14416"/>
    <w:rsid w:val="3524B02D"/>
    <w:rsid w:val="476653B2"/>
    <w:rsid w:val="5079F091"/>
    <w:rsid w:val="57E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A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nicdata.cdc.gov/browse?category=500+Cities+%26+Places&amp;sortBy=newest&amp;utf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places/measure-definitions" TargetMode="External"/><Relationship Id="rId3" Type="http://schemas.openxmlformats.org/officeDocument/2006/relationships/hyperlink" Target="https://doi.org/10.1007/s10900-019-00731-9" TargetMode="External"/><Relationship Id="rId7" Type="http://schemas.openxmlformats.org/officeDocument/2006/relationships/hyperlink" Target="https://www.cdc.gov/places/methodology/" TargetMode="External"/><Relationship Id="rId2" Type="http://schemas.openxmlformats.org/officeDocument/2006/relationships/hyperlink" Target="https://doi.org/10.1016/j.sleep.2018.10.008" TargetMode="External"/><Relationship Id="rId1" Type="http://schemas.openxmlformats.org/officeDocument/2006/relationships/hyperlink" Target="https://doi.org/10.1371/journal.pone.0235816" TargetMode="External"/><Relationship Id="rId6" Type="http://schemas.openxmlformats.org/officeDocument/2006/relationships/hyperlink" Target="https://doi.org/10.1093/sleep/29.7.881" TargetMode="External"/><Relationship Id="rId5" Type="http://schemas.openxmlformats.org/officeDocument/2006/relationships/hyperlink" Target="https://doi.org/10.1007/s12170-013-0330-0" TargetMode="External"/><Relationship Id="rId4" Type="http://schemas.openxmlformats.org/officeDocument/2006/relationships/hyperlink" Target="https://doi.org/10.1093/sleep/zsw025" TargetMode="External"/><Relationship Id="rId9" Type="http://schemas.openxmlformats.org/officeDocument/2006/relationships/hyperlink" Target="https://www.cdc.gov/places/method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134</cp:revision>
  <dcterms:created xsi:type="dcterms:W3CDTF">2021-08-05T17:27:00Z</dcterms:created>
  <dcterms:modified xsi:type="dcterms:W3CDTF">2021-11-15T19:02:00Z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