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3A426B6E" w:rsidR="002B6F8E" w:rsidRPr="009831B6" w:rsidRDefault="002B6F8E">
      <w:pPr>
        <w:rPr>
          <w:rFonts w:asciiTheme="minorHAnsi" w:hAnsiTheme="minorHAnsi" w:cstheme="minorHAnsi"/>
        </w:rPr>
      </w:pPr>
      <w:r w:rsidRPr="009831B6">
        <w:rPr>
          <w:rFonts w:asciiTheme="minorHAnsi" w:hAnsiTheme="minorHAnsi" w:cstheme="minorHAnsi"/>
          <w:b/>
          <w:bCs/>
        </w:rPr>
        <w:t>Name</w:t>
      </w:r>
      <w:r w:rsidR="00D44CAC" w:rsidRPr="009831B6">
        <w:rPr>
          <w:rFonts w:asciiTheme="minorHAnsi" w:hAnsiTheme="minorHAnsi" w:cstheme="minorHAnsi"/>
        </w:rPr>
        <w:t>:</w:t>
      </w:r>
      <w:r w:rsidR="00BC4FCB" w:rsidRPr="009831B6">
        <w:rPr>
          <w:rFonts w:asciiTheme="minorHAnsi" w:hAnsiTheme="minorHAnsi" w:cstheme="minorHAnsi"/>
        </w:rPr>
        <w:t xml:space="preserve"> </w:t>
      </w:r>
      <w:r w:rsidR="00725EEC" w:rsidRPr="009831B6">
        <w:rPr>
          <w:rFonts w:asciiTheme="minorHAnsi" w:hAnsiTheme="minorHAnsi" w:cstheme="minorHAnsi"/>
        </w:rPr>
        <w:t>Mortgage Acceptance Rate</w:t>
      </w:r>
    </w:p>
    <w:p w14:paraId="0D41E867" w14:textId="77777777" w:rsidR="00AA5AB9" w:rsidRPr="009831B6" w:rsidRDefault="00AA5AB9">
      <w:pPr>
        <w:rPr>
          <w:rFonts w:asciiTheme="minorHAnsi" w:hAnsiTheme="minorHAnsi" w:cstheme="minorHAnsi"/>
        </w:rPr>
      </w:pPr>
    </w:p>
    <w:p w14:paraId="100E41DE" w14:textId="7862DA79" w:rsidR="00EC670E" w:rsidRPr="003F2809" w:rsidRDefault="002B6F8E" w:rsidP="06127288">
      <w:pPr>
        <w:rPr>
          <w:rFonts w:asciiTheme="minorHAnsi" w:hAnsiTheme="minorHAnsi" w:cstheme="minorBidi"/>
        </w:rPr>
      </w:pPr>
      <w:r w:rsidRPr="06127288">
        <w:rPr>
          <w:rFonts w:asciiTheme="minorHAnsi" w:hAnsiTheme="minorHAnsi" w:cstheme="minorBidi"/>
          <w:b/>
          <w:bCs/>
        </w:rPr>
        <w:t>Short Description</w:t>
      </w:r>
      <w:r w:rsidR="00D44CAC" w:rsidRPr="06127288">
        <w:rPr>
          <w:rFonts w:asciiTheme="minorHAnsi" w:hAnsiTheme="minorHAnsi" w:cstheme="minorBidi"/>
        </w:rPr>
        <w:t>:</w:t>
      </w:r>
      <w:r w:rsidR="004B5953" w:rsidRPr="06127288">
        <w:rPr>
          <w:rFonts w:asciiTheme="minorHAnsi" w:hAnsiTheme="minorHAnsi" w:cstheme="minorBidi"/>
        </w:rPr>
        <w:t xml:space="preserve"> </w:t>
      </w:r>
      <w:r w:rsidR="00F4177B" w:rsidRPr="06127288">
        <w:rPr>
          <w:rFonts w:asciiTheme="minorHAnsi" w:hAnsiTheme="minorHAnsi" w:cstheme="minorBidi"/>
        </w:rPr>
        <w:t>Difference in percent of</w:t>
      </w:r>
      <w:r w:rsidR="009D00B4" w:rsidRPr="06127288">
        <w:rPr>
          <w:rFonts w:asciiTheme="minorHAnsi" w:hAnsiTheme="minorHAnsi" w:cstheme="minorBidi"/>
        </w:rPr>
        <w:t xml:space="preserve"> mortgage </w:t>
      </w:r>
      <w:r w:rsidR="00A51B94" w:rsidRPr="06127288">
        <w:rPr>
          <w:rFonts w:asciiTheme="minorHAnsi" w:hAnsiTheme="minorHAnsi" w:cstheme="minorBidi"/>
        </w:rPr>
        <w:t>applications</w:t>
      </w:r>
      <w:r w:rsidR="4203FFF0" w:rsidRPr="06127288">
        <w:rPr>
          <w:rFonts w:asciiTheme="minorHAnsi" w:hAnsiTheme="minorHAnsi" w:cstheme="minorBidi"/>
        </w:rPr>
        <w:t xml:space="preserve"> </w:t>
      </w:r>
      <w:r w:rsidR="008F30F0">
        <w:rPr>
          <w:rFonts w:asciiTheme="minorHAnsi" w:hAnsiTheme="minorHAnsi" w:cstheme="minorBidi"/>
        </w:rPr>
        <w:t xml:space="preserve">accepted </w:t>
      </w:r>
      <w:r w:rsidR="0032516F">
        <w:rPr>
          <w:rFonts w:asciiTheme="minorHAnsi" w:hAnsiTheme="minorHAnsi" w:cstheme="minorBidi"/>
        </w:rPr>
        <w:t xml:space="preserve">between </w:t>
      </w:r>
      <w:r w:rsidR="005E7688">
        <w:rPr>
          <w:rFonts w:asciiTheme="minorHAnsi" w:hAnsiTheme="minorHAnsi" w:cstheme="minorBidi"/>
        </w:rPr>
        <w:t xml:space="preserve">all </w:t>
      </w:r>
      <w:r w:rsidR="0032516F">
        <w:rPr>
          <w:rFonts w:asciiTheme="minorHAnsi" w:hAnsiTheme="minorHAnsi" w:cstheme="minorBidi"/>
        </w:rPr>
        <w:t xml:space="preserve">applicants </w:t>
      </w:r>
      <w:r w:rsidR="005E7688">
        <w:rPr>
          <w:rFonts w:asciiTheme="minorHAnsi" w:hAnsiTheme="minorHAnsi" w:cstheme="minorBidi"/>
        </w:rPr>
        <w:t>and minority applicants</w:t>
      </w:r>
      <w:r w:rsidR="4203FFF0" w:rsidRPr="06127288">
        <w:rPr>
          <w:rFonts w:asciiTheme="minorHAnsi" w:hAnsiTheme="minorHAnsi" w:cstheme="minorBidi"/>
        </w:rPr>
        <w:t xml:space="preserve">. </w:t>
      </w:r>
    </w:p>
    <w:p w14:paraId="285F7F9C" w14:textId="72AF4EE6" w:rsidR="002B6F8E" w:rsidRPr="003F2809" w:rsidRDefault="002B6F8E">
      <w:pPr>
        <w:rPr>
          <w:rFonts w:asciiTheme="minorHAnsi" w:hAnsiTheme="minorHAnsi" w:cstheme="minorHAnsi"/>
        </w:rPr>
      </w:pPr>
    </w:p>
    <w:p w14:paraId="4A72B57B" w14:textId="1756B61B" w:rsidR="002B6F8E" w:rsidRPr="003F2809" w:rsidRDefault="00C63158">
      <w:pPr>
        <w:rPr>
          <w:rFonts w:asciiTheme="minorHAnsi" w:hAnsiTheme="minorHAnsi" w:cstheme="minorHAnsi"/>
        </w:rPr>
      </w:pPr>
      <w:r w:rsidRPr="003F2809">
        <w:rPr>
          <w:rFonts w:asciiTheme="minorHAnsi" w:hAnsiTheme="minorHAnsi" w:cstheme="minorHAnsi"/>
          <w:b/>
          <w:bCs/>
        </w:rPr>
        <w:t xml:space="preserve">Data </w:t>
      </w:r>
      <w:r w:rsidR="002B6F8E" w:rsidRPr="003F2809">
        <w:rPr>
          <w:rFonts w:asciiTheme="minorHAnsi" w:hAnsiTheme="minorHAnsi" w:cstheme="minorHAnsi"/>
          <w:b/>
          <w:bCs/>
        </w:rPr>
        <w:t>Source</w:t>
      </w:r>
      <w:r w:rsidR="00D44CAC" w:rsidRPr="003F2809">
        <w:rPr>
          <w:rFonts w:asciiTheme="minorHAnsi" w:hAnsiTheme="minorHAnsi" w:cstheme="minorHAnsi"/>
        </w:rPr>
        <w:t>:</w:t>
      </w:r>
    </w:p>
    <w:p w14:paraId="01CD149B" w14:textId="1E71A0EE" w:rsidR="002B6F8E" w:rsidRPr="00A97249" w:rsidRDefault="00AA5AB9" w:rsidP="00D44CAC">
      <w:pPr>
        <w:pStyle w:val="ListParagraph"/>
        <w:numPr>
          <w:ilvl w:val="0"/>
          <w:numId w:val="8"/>
        </w:numPr>
        <w:rPr>
          <w:rFonts w:cstheme="minorHAnsi"/>
        </w:rPr>
      </w:pPr>
      <w:r w:rsidRPr="00A97249">
        <w:rPr>
          <w:rFonts w:cstheme="minorHAnsi"/>
          <w:u w:val="single"/>
        </w:rPr>
        <w:t>Name</w:t>
      </w:r>
      <w:r w:rsidRPr="00A97249">
        <w:rPr>
          <w:rFonts w:cstheme="minorHAnsi"/>
        </w:rPr>
        <w:t>:</w:t>
      </w:r>
      <w:r w:rsidR="009014F7" w:rsidRPr="00A97249">
        <w:rPr>
          <w:rFonts w:cstheme="minorHAnsi"/>
        </w:rPr>
        <w:t xml:space="preserve"> </w:t>
      </w:r>
      <w:r w:rsidR="00395DD5" w:rsidRPr="00A97249">
        <w:rPr>
          <w:rFonts w:cstheme="minorHAnsi"/>
        </w:rPr>
        <w:t>Home Mortgage D</w:t>
      </w:r>
      <w:r w:rsidR="00751F50" w:rsidRPr="00A97249">
        <w:rPr>
          <w:rFonts w:cstheme="minorHAnsi"/>
        </w:rPr>
        <w:t>isclosure Act (HMDA) Dataset</w:t>
      </w:r>
      <w:r w:rsidR="00A16D12">
        <w:rPr>
          <w:rFonts w:cstheme="minorHAnsi"/>
        </w:rPr>
        <w:t xml:space="preserve">, </w:t>
      </w:r>
      <w:r w:rsidR="00B52D4C">
        <w:t>Consumer Financial Protection Bureau</w:t>
      </w:r>
    </w:p>
    <w:p w14:paraId="7C3A5475" w14:textId="7E7EDB1C" w:rsidR="00433CEA" w:rsidRPr="00A97249" w:rsidRDefault="00AA5AB9" w:rsidP="00D44CAC">
      <w:pPr>
        <w:pStyle w:val="ListParagraph"/>
        <w:numPr>
          <w:ilvl w:val="0"/>
          <w:numId w:val="8"/>
        </w:numPr>
        <w:rPr>
          <w:rFonts w:cstheme="minorHAnsi"/>
        </w:rPr>
      </w:pPr>
      <w:r w:rsidRPr="00A97249">
        <w:rPr>
          <w:rFonts w:cstheme="minorHAnsi"/>
          <w:u w:val="single"/>
        </w:rPr>
        <w:t>Link to Source</w:t>
      </w:r>
      <w:r w:rsidRPr="00A97249">
        <w:rPr>
          <w:rFonts w:cstheme="minorHAnsi"/>
        </w:rPr>
        <w:t>:</w:t>
      </w:r>
      <w:r w:rsidR="00B4758F" w:rsidRPr="00A97249">
        <w:rPr>
          <w:rFonts w:cstheme="minorHAnsi"/>
        </w:rPr>
        <w:t xml:space="preserve"> </w:t>
      </w:r>
      <w:hyperlink r:id="rId11" w:history="1">
        <w:r w:rsidR="00CA1229" w:rsidRPr="00A97249">
          <w:rPr>
            <w:rStyle w:val="Hyperlink"/>
            <w:rFonts w:cstheme="minorHAnsi"/>
          </w:rPr>
          <w:t>https://ffiec.cfpb.gov/data-browser/data/2020?category=states</w:t>
        </w:r>
      </w:hyperlink>
      <w:r w:rsidR="00CA1229" w:rsidRPr="00A97249">
        <w:rPr>
          <w:rFonts w:cstheme="minorHAnsi"/>
        </w:rPr>
        <w:t xml:space="preserve"> </w:t>
      </w:r>
    </w:p>
    <w:p w14:paraId="09098AE3" w14:textId="4E21EED8" w:rsidR="002B6F8E" w:rsidRPr="003F2809" w:rsidRDefault="002B6F8E">
      <w:pPr>
        <w:rPr>
          <w:rFonts w:asciiTheme="minorHAnsi" w:hAnsiTheme="minorHAnsi" w:cstheme="minorHAnsi"/>
          <w:b/>
          <w:bCs/>
        </w:rPr>
      </w:pPr>
    </w:p>
    <w:p w14:paraId="06D4C025" w14:textId="3C5C26F9" w:rsidR="002B6F8E" w:rsidRPr="003F2809" w:rsidRDefault="002B6F8E">
      <w:pPr>
        <w:rPr>
          <w:rFonts w:asciiTheme="minorHAnsi" w:hAnsiTheme="minorHAnsi" w:cstheme="minorHAnsi"/>
          <w:b/>
          <w:bCs/>
        </w:rPr>
      </w:pPr>
      <w:r w:rsidRPr="003F2809">
        <w:rPr>
          <w:rFonts w:asciiTheme="minorHAnsi" w:hAnsiTheme="minorHAnsi" w:cstheme="minorHAnsi"/>
          <w:b/>
          <w:bCs/>
        </w:rPr>
        <w:t>Year</w:t>
      </w:r>
      <w:r w:rsidR="00082B14" w:rsidRPr="003F2809">
        <w:rPr>
          <w:rFonts w:asciiTheme="minorHAnsi" w:hAnsiTheme="minorHAnsi" w:cstheme="minorHAnsi"/>
          <w:b/>
          <w:bCs/>
        </w:rPr>
        <w:t>:</w:t>
      </w:r>
      <w:r w:rsidR="001B5F77" w:rsidRPr="003F2809">
        <w:rPr>
          <w:rFonts w:asciiTheme="minorHAnsi" w:hAnsiTheme="minorHAnsi" w:cstheme="minorHAnsi"/>
          <w:b/>
          <w:bCs/>
        </w:rPr>
        <w:t xml:space="preserve"> </w:t>
      </w:r>
      <w:r w:rsidR="00500A0A" w:rsidRPr="003F2809">
        <w:rPr>
          <w:rFonts w:asciiTheme="minorHAnsi" w:hAnsiTheme="minorHAnsi" w:cstheme="minorHAnsi"/>
        </w:rPr>
        <w:t>2020</w:t>
      </w:r>
    </w:p>
    <w:p w14:paraId="169D6C46" w14:textId="2812697E" w:rsidR="002B6F8E" w:rsidRPr="003F2809" w:rsidRDefault="002B6F8E">
      <w:pPr>
        <w:rPr>
          <w:rFonts w:asciiTheme="minorHAnsi" w:hAnsiTheme="minorHAnsi" w:cstheme="minorHAnsi"/>
        </w:rPr>
      </w:pPr>
    </w:p>
    <w:p w14:paraId="3A134C16" w14:textId="1282F07A" w:rsidR="00DA16C3" w:rsidRPr="00B767FD" w:rsidRDefault="007F76A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Source </w:t>
      </w:r>
      <w:r w:rsidR="00C63158" w:rsidRPr="003F2809">
        <w:rPr>
          <w:rFonts w:asciiTheme="minorHAnsi" w:hAnsiTheme="minorHAnsi" w:cstheme="minorHAnsi"/>
          <w:b/>
          <w:bCs/>
        </w:rPr>
        <w:t>Geographic Level</w:t>
      </w:r>
      <w:r w:rsidR="00E775B6" w:rsidRPr="003F2809">
        <w:rPr>
          <w:rFonts w:asciiTheme="minorHAnsi" w:hAnsiTheme="minorHAnsi" w:cstheme="minorHAnsi"/>
        </w:rPr>
        <w:t xml:space="preserve">: </w:t>
      </w:r>
      <w:r w:rsidR="003A32F0" w:rsidRPr="00B767FD">
        <w:rPr>
          <w:rFonts w:asciiTheme="minorHAnsi" w:hAnsiTheme="minorHAnsi" w:cstheme="minorHAnsi"/>
        </w:rPr>
        <w:t>Z</w:t>
      </w:r>
      <w:r w:rsidR="0097051A">
        <w:rPr>
          <w:rFonts w:asciiTheme="minorHAnsi" w:hAnsiTheme="minorHAnsi" w:cstheme="minorHAnsi"/>
        </w:rPr>
        <w:t xml:space="preserve">ip </w:t>
      </w:r>
      <w:r w:rsidR="003A32F0" w:rsidRPr="00B767FD">
        <w:rPr>
          <w:rFonts w:asciiTheme="minorHAnsi" w:hAnsiTheme="minorHAnsi" w:cstheme="minorHAnsi"/>
        </w:rPr>
        <w:t>C</w:t>
      </w:r>
      <w:r w:rsidR="0097051A">
        <w:rPr>
          <w:rFonts w:asciiTheme="minorHAnsi" w:hAnsiTheme="minorHAnsi" w:cstheme="minorHAnsi"/>
        </w:rPr>
        <w:t>ode Tabulation Area</w:t>
      </w:r>
      <w:r>
        <w:rPr>
          <w:rFonts w:asciiTheme="minorHAnsi" w:hAnsiTheme="minorHAnsi" w:cstheme="minorHAnsi"/>
        </w:rPr>
        <w:t xml:space="preserve"> (ZTCA)</w:t>
      </w:r>
    </w:p>
    <w:p w14:paraId="17DDA767" w14:textId="77777777" w:rsidR="00C63158" w:rsidRPr="00B767FD" w:rsidRDefault="00C63158">
      <w:pPr>
        <w:rPr>
          <w:rFonts w:asciiTheme="minorHAnsi" w:hAnsiTheme="minorHAnsi" w:cstheme="minorHAnsi"/>
          <w:b/>
          <w:bCs/>
        </w:rPr>
      </w:pPr>
    </w:p>
    <w:p w14:paraId="40A78922" w14:textId="56682A26" w:rsidR="00302737" w:rsidRPr="00B767FD" w:rsidRDefault="00A1534E" w:rsidP="003A32F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Stratification</w:t>
      </w:r>
      <w:r w:rsidR="00F8197B" w:rsidRPr="00B767FD">
        <w:rPr>
          <w:rFonts w:asciiTheme="minorHAnsi" w:hAnsiTheme="minorHAnsi" w:cstheme="minorHAnsi"/>
        </w:rPr>
        <w:t>:</w:t>
      </w:r>
      <w:r w:rsidR="00FA29F2" w:rsidRPr="00B767FD">
        <w:rPr>
          <w:rFonts w:asciiTheme="minorHAnsi" w:hAnsiTheme="minorHAnsi" w:cstheme="minorHAnsi"/>
        </w:rPr>
        <w:t xml:space="preserve"> </w:t>
      </w:r>
      <w:r w:rsidR="00D05637">
        <w:rPr>
          <w:rFonts w:asciiTheme="minorHAnsi" w:hAnsiTheme="minorHAnsi" w:cstheme="minorHAnsi"/>
        </w:rPr>
        <w:t>Black Population</w:t>
      </w:r>
    </w:p>
    <w:p w14:paraId="76226322" w14:textId="3B492108" w:rsidR="002B6F8E" w:rsidRPr="00B767FD" w:rsidRDefault="002B6F8E">
      <w:pPr>
        <w:rPr>
          <w:rFonts w:asciiTheme="minorHAnsi" w:hAnsiTheme="minorHAnsi" w:cstheme="minorHAnsi"/>
        </w:rPr>
      </w:pPr>
    </w:p>
    <w:p w14:paraId="52836E2A" w14:textId="5E601E64" w:rsidR="002552A6" w:rsidRPr="00B767FD" w:rsidRDefault="0070276E">
      <w:pPr>
        <w:rPr>
          <w:rFonts w:asciiTheme="minorHAnsi" w:hAnsiTheme="minorHAnsi" w:cstheme="minorHAnsi"/>
        </w:rPr>
      </w:pPr>
      <w:r w:rsidRPr="00B767FD">
        <w:rPr>
          <w:rFonts w:asciiTheme="minorHAnsi" w:hAnsiTheme="minorHAnsi" w:cstheme="minorHAnsi"/>
          <w:b/>
          <w:bCs/>
        </w:rPr>
        <w:t>Selection Rationale</w:t>
      </w:r>
      <w:r w:rsidR="002649BE" w:rsidRPr="00B767FD">
        <w:rPr>
          <w:rFonts w:asciiTheme="minorHAnsi" w:hAnsiTheme="minorHAnsi" w:cstheme="minorHAnsi"/>
          <w:b/>
          <w:bCs/>
        </w:rPr>
        <w:t>:</w:t>
      </w:r>
      <w:r w:rsidR="00AA30DA" w:rsidRPr="00B767FD">
        <w:rPr>
          <w:rFonts w:asciiTheme="minorHAnsi" w:hAnsiTheme="minorHAnsi" w:cstheme="minorHAnsi"/>
          <w:b/>
          <w:bCs/>
        </w:rPr>
        <w:t xml:space="preserve"> </w:t>
      </w:r>
      <w:r w:rsidR="00A45DA7" w:rsidRPr="00B767FD">
        <w:rPr>
          <w:rFonts w:asciiTheme="minorHAnsi" w:hAnsiTheme="minorHAnsi" w:cstheme="minorHAnsi"/>
        </w:rPr>
        <w:t xml:space="preserve">The ability to access mortgage loans </w:t>
      </w:r>
      <w:r w:rsidR="00B23492" w:rsidRPr="00B767FD">
        <w:rPr>
          <w:rFonts w:asciiTheme="minorHAnsi" w:hAnsiTheme="minorHAnsi" w:cstheme="minorHAnsi"/>
        </w:rPr>
        <w:t>determines</w:t>
      </w:r>
      <w:r w:rsidR="00A45DA7" w:rsidRPr="00B767FD">
        <w:rPr>
          <w:rFonts w:asciiTheme="minorHAnsi" w:hAnsiTheme="minorHAnsi" w:cstheme="minorHAnsi"/>
        </w:rPr>
        <w:t xml:space="preserve"> </w:t>
      </w:r>
      <w:r w:rsidR="00F91D5C" w:rsidRPr="00B767FD">
        <w:rPr>
          <w:rFonts w:asciiTheme="minorHAnsi" w:hAnsiTheme="minorHAnsi" w:cstheme="minorHAnsi"/>
        </w:rPr>
        <w:t xml:space="preserve">not only </w:t>
      </w:r>
      <w:r w:rsidR="00A45DA7" w:rsidRPr="00B767FD">
        <w:rPr>
          <w:rFonts w:asciiTheme="minorHAnsi" w:hAnsiTheme="minorHAnsi" w:cstheme="minorHAnsi"/>
        </w:rPr>
        <w:t xml:space="preserve">an individual’s ability to </w:t>
      </w:r>
      <w:r w:rsidR="002F6EDE" w:rsidRPr="00B767FD">
        <w:rPr>
          <w:rFonts w:asciiTheme="minorHAnsi" w:hAnsiTheme="minorHAnsi" w:cstheme="minorHAnsi"/>
        </w:rPr>
        <w:t>purchase a home</w:t>
      </w:r>
      <w:r w:rsidR="00F91D5C" w:rsidRPr="00B767FD">
        <w:rPr>
          <w:rFonts w:asciiTheme="minorHAnsi" w:hAnsiTheme="minorHAnsi" w:cstheme="minorHAnsi"/>
        </w:rPr>
        <w:t xml:space="preserve">, but also their ability to </w:t>
      </w:r>
      <w:r w:rsidR="002E5C01" w:rsidRPr="00B767FD">
        <w:rPr>
          <w:rFonts w:asciiTheme="minorHAnsi" w:hAnsiTheme="minorHAnsi" w:cstheme="minorHAnsi"/>
        </w:rPr>
        <w:t>achieve financial security and build wealth</w:t>
      </w:r>
      <w:r w:rsidR="002F6EDE" w:rsidRPr="00B767FD">
        <w:rPr>
          <w:rFonts w:asciiTheme="minorHAnsi" w:hAnsiTheme="minorHAnsi" w:cstheme="minorHAnsi"/>
        </w:rPr>
        <w:t xml:space="preserve">. Historically, </w:t>
      </w:r>
      <w:r w:rsidR="00C653B9" w:rsidRPr="00B767FD">
        <w:rPr>
          <w:rFonts w:asciiTheme="minorHAnsi" w:hAnsiTheme="minorHAnsi" w:cstheme="minorHAnsi"/>
        </w:rPr>
        <w:t>disparate mortgage acceptance rates between White and Black Americans</w:t>
      </w:r>
      <w:r w:rsidR="002C7E48" w:rsidRPr="00B767FD">
        <w:rPr>
          <w:rFonts w:asciiTheme="minorHAnsi" w:hAnsiTheme="minorHAnsi" w:cstheme="minorHAnsi"/>
        </w:rPr>
        <w:t xml:space="preserve"> have perpetuated racial segregation</w:t>
      </w:r>
      <w:r w:rsidR="006F4F65">
        <w:rPr>
          <w:rFonts w:asciiTheme="minorHAnsi" w:hAnsiTheme="minorHAnsi" w:cstheme="minorHAnsi"/>
        </w:rPr>
        <w:t xml:space="preserve"> and </w:t>
      </w:r>
      <w:r w:rsidR="008725FC">
        <w:rPr>
          <w:rFonts w:asciiTheme="minorHAnsi" w:hAnsiTheme="minorHAnsi" w:cstheme="minorHAnsi"/>
        </w:rPr>
        <w:t>the racial wealth gap.</w:t>
      </w:r>
      <w:r w:rsidR="00C27D4A">
        <w:rPr>
          <w:rStyle w:val="FootnoteReference"/>
          <w:rFonts w:asciiTheme="minorHAnsi" w:hAnsiTheme="minorHAnsi" w:cstheme="minorHAnsi"/>
        </w:rPr>
        <w:footnoteReference w:id="2"/>
      </w:r>
      <w:r w:rsidR="00C653B9" w:rsidRPr="00B767FD">
        <w:rPr>
          <w:rFonts w:asciiTheme="minorHAnsi" w:hAnsiTheme="minorHAnsi" w:cstheme="minorHAnsi"/>
        </w:rPr>
        <w:t xml:space="preserve"> </w:t>
      </w:r>
      <w:r w:rsidR="009D1CE0" w:rsidRPr="00B767FD">
        <w:rPr>
          <w:rFonts w:asciiTheme="minorHAnsi" w:hAnsiTheme="minorHAnsi" w:cstheme="minorHAnsi"/>
        </w:rPr>
        <w:t xml:space="preserve">Because </w:t>
      </w:r>
      <w:r w:rsidR="00CD35FD" w:rsidRPr="00B767FD">
        <w:rPr>
          <w:rFonts w:asciiTheme="minorHAnsi" w:hAnsiTheme="minorHAnsi" w:cstheme="minorHAnsi"/>
        </w:rPr>
        <w:t>financial security</w:t>
      </w:r>
      <w:r w:rsidR="009D1CE0" w:rsidRPr="00B767FD">
        <w:rPr>
          <w:rFonts w:asciiTheme="minorHAnsi" w:hAnsiTheme="minorHAnsi" w:cstheme="minorHAnsi"/>
        </w:rPr>
        <w:t xml:space="preserve"> </w:t>
      </w:r>
      <w:r w:rsidR="00BB37B4">
        <w:rPr>
          <w:rFonts w:asciiTheme="minorHAnsi" w:hAnsiTheme="minorHAnsi" w:cstheme="minorHAnsi"/>
        </w:rPr>
        <w:t xml:space="preserve">through homeownership </w:t>
      </w:r>
      <w:r w:rsidR="00E45575" w:rsidRPr="00B767FD">
        <w:rPr>
          <w:rFonts w:asciiTheme="minorHAnsi" w:hAnsiTheme="minorHAnsi" w:cstheme="minorHAnsi"/>
        </w:rPr>
        <w:t xml:space="preserve">can be a protective factor for </w:t>
      </w:r>
      <w:r w:rsidR="00304B49" w:rsidRPr="00B767FD">
        <w:rPr>
          <w:rFonts w:asciiTheme="minorHAnsi" w:hAnsiTheme="minorHAnsi" w:cstheme="minorHAnsi"/>
        </w:rPr>
        <w:t xml:space="preserve">mental health, </w:t>
      </w:r>
      <w:r w:rsidR="003134A5" w:rsidRPr="00B767FD">
        <w:rPr>
          <w:rFonts w:asciiTheme="minorHAnsi" w:hAnsiTheme="minorHAnsi" w:cstheme="minorHAnsi"/>
        </w:rPr>
        <w:t xml:space="preserve">the </w:t>
      </w:r>
      <w:r w:rsidR="00304B49" w:rsidRPr="00B767FD">
        <w:rPr>
          <w:rFonts w:asciiTheme="minorHAnsi" w:hAnsiTheme="minorHAnsi" w:cstheme="minorHAnsi"/>
        </w:rPr>
        <w:t xml:space="preserve">rate of mortgage </w:t>
      </w:r>
      <w:r w:rsidR="003134A5" w:rsidRPr="00B767FD">
        <w:rPr>
          <w:rFonts w:asciiTheme="minorHAnsi" w:hAnsiTheme="minorHAnsi" w:cstheme="minorHAnsi"/>
        </w:rPr>
        <w:t xml:space="preserve">application </w:t>
      </w:r>
      <w:r w:rsidR="00304B49" w:rsidRPr="00B767FD">
        <w:rPr>
          <w:rFonts w:asciiTheme="minorHAnsi" w:hAnsiTheme="minorHAnsi" w:cstheme="minorHAnsi"/>
        </w:rPr>
        <w:t xml:space="preserve">acceptance </w:t>
      </w:r>
      <w:r w:rsidR="00C32B63">
        <w:rPr>
          <w:rFonts w:asciiTheme="minorHAnsi" w:hAnsiTheme="minorHAnsi" w:cstheme="minorHAnsi"/>
        </w:rPr>
        <w:t xml:space="preserve">can contribute towards </w:t>
      </w:r>
      <w:r w:rsidR="005D1713" w:rsidRPr="00B767FD">
        <w:rPr>
          <w:rFonts w:asciiTheme="minorHAnsi" w:hAnsiTheme="minorHAnsi" w:cstheme="minorHAnsi"/>
        </w:rPr>
        <w:t>the mental wellness of a community.</w:t>
      </w:r>
      <w:r w:rsidR="00B23492" w:rsidRPr="00B767FD">
        <w:rPr>
          <w:rFonts w:asciiTheme="minorHAnsi" w:hAnsiTheme="minorHAnsi" w:cstheme="minorHAnsi"/>
        </w:rPr>
        <w:t xml:space="preserve"> </w:t>
      </w:r>
    </w:p>
    <w:p w14:paraId="2B43A742" w14:textId="7AC574A6" w:rsidR="002552A6" w:rsidRDefault="002552A6">
      <w:pPr>
        <w:rPr>
          <w:rFonts w:asciiTheme="minorHAnsi" w:hAnsiTheme="minorHAnsi" w:cstheme="minorHAnsi"/>
          <w:b/>
          <w:bCs/>
        </w:rPr>
      </w:pPr>
    </w:p>
    <w:p w14:paraId="10D8FD63" w14:textId="6476F270" w:rsidR="00181F4B" w:rsidRPr="00B767FD" w:rsidRDefault="00181F4B">
      <w:pPr>
        <w:rPr>
          <w:rFonts w:asciiTheme="minorHAnsi" w:hAnsiTheme="minorHAnsi" w:cstheme="minorHAnsi"/>
        </w:rPr>
      </w:pPr>
      <w:r w:rsidRPr="00B767FD">
        <w:rPr>
          <w:rFonts w:asciiTheme="minorHAnsi" w:hAnsiTheme="minorHAnsi" w:cstheme="minorHAnsi"/>
          <w:b/>
          <w:bCs/>
        </w:rPr>
        <w:t>Strengths and Limitations</w:t>
      </w:r>
      <w:r w:rsidRPr="00B767FD">
        <w:rPr>
          <w:rFonts w:asciiTheme="minorHAnsi" w:hAnsiTheme="minorHAnsi" w:cstheme="minorHAnsi"/>
        </w:rPr>
        <w:t xml:space="preserve"> </w:t>
      </w:r>
    </w:p>
    <w:p w14:paraId="0FBF05E4" w14:textId="77777777" w:rsidR="00D85C3D" w:rsidRPr="00A97249" w:rsidRDefault="00D85C3D" w:rsidP="00B21683">
      <w:pPr>
        <w:pStyle w:val="ListParagraph"/>
        <w:numPr>
          <w:ilvl w:val="0"/>
          <w:numId w:val="14"/>
        </w:numPr>
        <w:rPr>
          <w:rFonts w:cstheme="minorHAnsi"/>
          <w:bCs/>
        </w:rPr>
      </w:pPr>
      <w:r w:rsidRPr="00A97249">
        <w:rPr>
          <w:rFonts w:cstheme="minorHAnsi"/>
          <w:b/>
        </w:rPr>
        <w:t>Strengths</w:t>
      </w:r>
      <w:r w:rsidRPr="00A97249">
        <w:rPr>
          <w:rFonts w:cstheme="minorHAnsi"/>
          <w:bCs/>
        </w:rPr>
        <w:t xml:space="preserve">: </w:t>
      </w:r>
    </w:p>
    <w:p w14:paraId="24F3DA84" w14:textId="3D0595F5" w:rsidR="009D03DB" w:rsidRPr="00A97249" w:rsidRDefault="009D03DB" w:rsidP="009D03DB">
      <w:pPr>
        <w:pStyle w:val="ListParagraph"/>
        <w:numPr>
          <w:ilvl w:val="1"/>
          <w:numId w:val="14"/>
        </w:numPr>
        <w:rPr>
          <w:rFonts w:cstheme="minorHAnsi"/>
          <w:bCs/>
        </w:rPr>
      </w:pPr>
      <w:r w:rsidRPr="00A97249">
        <w:rPr>
          <w:rFonts w:cstheme="minorHAnsi"/>
          <w:bCs/>
        </w:rPr>
        <w:t>[</w:t>
      </w:r>
      <w:r w:rsidRPr="00A97249">
        <w:rPr>
          <w:rFonts w:cstheme="minorHAnsi"/>
          <w:bCs/>
          <w:i/>
          <w:iCs/>
        </w:rPr>
        <w:t>Importance</w:t>
      </w:r>
      <w:r w:rsidR="003F44AA" w:rsidRPr="00A97249">
        <w:rPr>
          <w:rFonts w:cstheme="minorHAnsi"/>
          <w:bCs/>
          <w:i/>
          <w:iCs/>
        </w:rPr>
        <w:t>/Equity</w:t>
      </w:r>
      <w:r w:rsidRPr="00A97249">
        <w:rPr>
          <w:rFonts w:cstheme="minorHAnsi"/>
          <w:bCs/>
        </w:rPr>
        <w:t xml:space="preserve">] </w:t>
      </w:r>
      <w:r w:rsidR="00557A6F" w:rsidRPr="00A97249">
        <w:rPr>
          <w:rFonts w:cstheme="minorHAnsi"/>
          <w:bCs/>
        </w:rPr>
        <w:t xml:space="preserve">Disparate mortgage acceptance between White and Black Americans </w:t>
      </w:r>
      <w:r w:rsidR="00540396" w:rsidRPr="00A97249">
        <w:rPr>
          <w:rFonts w:cstheme="minorHAnsi"/>
          <w:bCs/>
        </w:rPr>
        <w:t>perpetuate</w:t>
      </w:r>
      <w:r w:rsidR="00903FE2">
        <w:rPr>
          <w:rFonts w:cstheme="minorHAnsi"/>
          <w:bCs/>
        </w:rPr>
        <w:t>s</w:t>
      </w:r>
      <w:r w:rsidR="00C236A3" w:rsidRPr="00A97249">
        <w:rPr>
          <w:rFonts w:cstheme="minorHAnsi"/>
          <w:bCs/>
        </w:rPr>
        <w:t xml:space="preserve"> many forms of</w:t>
      </w:r>
      <w:r w:rsidR="00540396" w:rsidRPr="00A97249">
        <w:rPr>
          <w:rFonts w:cstheme="minorHAnsi"/>
          <w:bCs/>
        </w:rPr>
        <w:t xml:space="preserve"> </w:t>
      </w:r>
      <w:r w:rsidR="005D78CB">
        <w:rPr>
          <w:rFonts w:cstheme="minorHAnsi"/>
          <w:bCs/>
        </w:rPr>
        <w:t>structural racism</w:t>
      </w:r>
      <w:r w:rsidR="003F44AA" w:rsidRPr="00A97249">
        <w:rPr>
          <w:rFonts w:cstheme="minorHAnsi"/>
          <w:bCs/>
        </w:rPr>
        <w:t>.</w:t>
      </w:r>
      <w:r w:rsidR="00540396" w:rsidRPr="00A97249">
        <w:rPr>
          <w:rFonts w:cstheme="minorHAnsi"/>
          <w:bCs/>
        </w:rPr>
        <w:t xml:space="preserve"> </w:t>
      </w:r>
      <w:r w:rsidR="003F44AA" w:rsidRPr="00A97249">
        <w:rPr>
          <w:rFonts w:cstheme="minorHAnsi"/>
        </w:rPr>
        <w:t>Historic a</w:t>
      </w:r>
      <w:r w:rsidR="002278C8" w:rsidRPr="00A97249">
        <w:rPr>
          <w:rFonts w:cstheme="minorHAnsi"/>
        </w:rPr>
        <w:t xml:space="preserve">cts of “redlining” were conscious efforts by government entities to restrict Black Americans’ access to specific neighborhoods as well as </w:t>
      </w:r>
      <w:r w:rsidR="003F44AA" w:rsidRPr="00A97249">
        <w:rPr>
          <w:rFonts w:cstheme="minorHAnsi"/>
        </w:rPr>
        <w:t>homeownership</w:t>
      </w:r>
      <w:r w:rsidR="002278C8" w:rsidRPr="00A97249">
        <w:rPr>
          <w:rFonts w:cstheme="minorHAnsi"/>
        </w:rPr>
        <w:t xml:space="preserve"> in general.</w:t>
      </w:r>
      <w:r w:rsidR="003F44AA" w:rsidRPr="00A97249">
        <w:rPr>
          <w:rFonts w:cstheme="minorHAnsi"/>
        </w:rPr>
        <w:t xml:space="preserve"> </w:t>
      </w:r>
      <w:r w:rsidR="00A250D5" w:rsidRPr="00A97249">
        <w:rPr>
          <w:rFonts w:cstheme="minorHAnsi"/>
        </w:rPr>
        <w:t>Historic redlining</w:t>
      </w:r>
      <w:r w:rsidR="00CC6068" w:rsidRPr="00A97249">
        <w:rPr>
          <w:rFonts w:cstheme="minorHAnsi"/>
        </w:rPr>
        <w:t xml:space="preserve"> and sustained disinvestment have</w:t>
      </w:r>
      <w:r w:rsidR="00A250D5" w:rsidRPr="00A97249">
        <w:rPr>
          <w:rFonts w:cstheme="minorHAnsi"/>
        </w:rPr>
        <w:t xml:space="preserve"> also been </w:t>
      </w:r>
      <w:r w:rsidR="00B61658" w:rsidRPr="00A97249">
        <w:rPr>
          <w:rFonts w:cstheme="minorHAnsi"/>
        </w:rPr>
        <w:t>correlated with worse physical and mental health, as well as present-day rates of discrimination.</w:t>
      </w:r>
      <w:r w:rsidR="00B61658" w:rsidRPr="00A97249">
        <w:rPr>
          <w:rStyle w:val="FootnoteReference"/>
          <w:rFonts w:cstheme="minorHAnsi"/>
        </w:rPr>
        <w:footnoteReference w:id="3"/>
      </w:r>
      <w:r w:rsidR="00AE06B9" w:rsidRPr="00A97249">
        <w:rPr>
          <w:rFonts w:cstheme="minorHAnsi"/>
        </w:rPr>
        <w:t xml:space="preserve"> </w:t>
      </w:r>
      <w:r w:rsidR="00063B31" w:rsidRPr="00A97249">
        <w:rPr>
          <w:rFonts w:cstheme="minorHAnsi"/>
        </w:rPr>
        <w:t>Today, Black Americans are denied loans at about twice the rate of White Americans</w:t>
      </w:r>
      <w:r w:rsidR="0004246F">
        <w:rPr>
          <w:rFonts w:cstheme="minorHAnsi"/>
        </w:rPr>
        <w:t xml:space="preserve">, making it more difficult to </w:t>
      </w:r>
      <w:r w:rsidR="00195C6D">
        <w:rPr>
          <w:rFonts w:cstheme="minorHAnsi"/>
        </w:rPr>
        <w:t>create wealth through homeownership and home value appreciation.</w:t>
      </w:r>
      <w:r w:rsidR="00063B31" w:rsidRPr="00A97249">
        <w:rPr>
          <w:rStyle w:val="FootnoteReference"/>
          <w:rFonts w:cstheme="minorHAnsi"/>
        </w:rPr>
        <w:footnoteReference w:id="4"/>
      </w:r>
      <w:r w:rsidR="00A64143" w:rsidRPr="00A97249">
        <w:rPr>
          <w:rFonts w:cstheme="minorHAnsi"/>
        </w:rPr>
        <w:t xml:space="preserve"> </w:t>
      </w:r>
      <w:r w:rsidR="00CE4FE4" w:rsidRPr="00A97249">
        <w:rPr>
          <w:rFonts w:cstheme="minorHAnsi"/>
        </w:rPr>
        <w:t>P</w:t>
      </w:r>
      <w:r w:rsidR="00090F2D" w:rsidRPr="00A97249">
        <w:rPr>
          <w:rFonts w:cstheme="minorHAnsi"/>
        </w:rPr>
        <w:t xml:space="preserve">oor financial security (resulting </w:t>
      </w:r>
      <w:r w:rsidR="00090F2D" w:rsidRPr="00A97249">
        <w:rPr>
          <w:rFonts w:cstheme="minorHAnsi"/>
        </w:rPr>
        <w:lastRenderedPageBreak/>
        <w:t xml:space="preserve">from </w:t>
      </w:r>
      <w:r w:rsidR="003877AA" w:rsidRPr="00A97249">
        <w:rPr>
          <w:rFonts w:cstheme="minorHAnsi"/>
        </w:rPr>
        <w:t xml:space="preserve">a rejected mortgage application) </w:t>
      </w:r>
      <w:r w:rsidR="001378A9">
        <w:rPr>
          <w:rFonts w:cstheme="minorHAnsi"/>
        </w:rPr>
        <w:t>can have intergenerational consequences</w:t>
      </w:r>
      <w:r w:rsidR="00C32CFB">
        <w:rPr>
          <w:rFonts w:cstheme="minorHAnsi"/>
        </w:rPr>
        <w:t>, especially fo</w:t>
      </w:r>
      <w:r w:rsidR="00210F7B">
        <w:rPr>
          <w:rFonts w:cstheme="minorHAnsi"/>
        </w:rPr>
        <w:t>r</w:t>
      </w:r>
      <w:r w:rsidR="00C32CFB">
        <w:rPr>
          <w:rFonts w:cstheme="minorHAnsi"/>
        </w:rPr>
        <w:t xml:space="preserve"> communities of color who face other structural and social barriers to </w:t>
      </w:r>
      <w:r w:rsidR="00210F7B">
        <w:rPr>
          <w:rFonts w:cstheme="minorHAnsi"/>
        </w:rPr>
        <w:t>wealth-building.</w:t>
      </w:r>
      <w:r w:rsidR="00DF5FE1">
        <w:rPr>
          <w:rStyle w:val="FootnoteReference"/>
          <w:rFonts w:cstheme="minorHAnsi"/>
        </w:rPr>
        <w:footnoteReference w:id="5"/>
      </w:r>
      <w:r w:rsidR="0051687D">
        <w:rPr>
          <w:rFonts w:cstheme="minorHAnsi"/>
        </w:rPr>
        <w:t xml:space="preserve"> Mortgage accepta</w:t>
      </w:r>
      <w:r w:rsidR="00A24F78">
        <w:rPr>
          <w:rFonts w:cstheme="minorHAnsi"/>
        </w:rPr>
        <w:t>n</w:t>
      </w:r>
      <w:r w:rsidR="0051687D">
        <w:rPr>
          <w:rFonts w:cstheme="minorHAnsi"/>
        </w:rPr>
        <w:t xml:space="preserve">ce rate is an important </w:t>
      </w:r>
      <w:r w:rsidR="00A24F78">
        <w:rPr>
          <w:rFonts w:cstheme="minorHAnsi"/>
        </w:rPr>
        <w:t xml:space="preserve">indicator of a community’s financial security and </w:t>
      </w:r>
      <w:r w:rsidR="00F267DA">
        <w:rPr>
          <w:rFonts w:cstheme="minorHAnsi"/>
        </w:rPr>
        <w:t>therefore a community’s mental wellness.</w:t>
      </w:r>
    </w:p>
    <w:p w14:paraId="206C54BA" w14:textId="68EBFC45" w:rsidR="00B70EF2" w:rsidRPr="00A97249" w:rsidRDefault="00B70EF2" w:rsidP="00B70EF2">
      <w:pPr>
        <w:pStyle w:val="ListParagraph"/>
        <w:numPr>
          <w:ilvl w:val="1"/>
          <w:numId w:val="14"/>
        </w:numPr>
        <w:rPr>
          <w:rFonts w:cstheme="minorHAnsi"/>
          <w:bCs/>
        </w:rPr>
      </w:pPr>
      <w:r w:rsidRPr="00A97249">
        <w:rPr>
          <w:rFonts w:cstheme="minorHAnsi"/>
          <w:bCs/>
        </w:rPr>
        <w:t>[</w:t>
      </w:r>
      <w:r w:rsidRPr="00A97249">
        <w:rPr>
          <w:rFonts w:cstheme="minorHAnsi"/>
          <w:bCs/>
          <w:i/>
          <w:iCs/>
        </w:rPr>
        <w:t>Relevance and Usability</w:t>
      </w:r>
      <w:r w:rsidRPr="00A97249">
        <w:rPr>
          <w:rFonts w:cstheme="minorHAnsi"/>
          <w:bCs/>
        </w:rPr>
        <w:t xml:space="preserve">] </w:t>
      </w:r>
      <w:r w:rsidR="009D77E3" w:rsidRPr="00A97249">
        <w:rPr>
          <w:rFonts w:cstheme="minorHAnsi"/>
          <w:bCs/>
        </w:rPr>
        <w:t xml:space="preserve">Mortgage acceptance is displayed as a simple rate that is easily understandable and usable. </w:t>
      </w:r>
      <w:r w:rsidR="00196AD4" w:rsidRPr="00A97249">
        <w:rPr>
          <w:rFonts w:cstheme="minorHAnsi"/>
          <w:bCs/>
        </w:rPr>
        <w:t xml:space="preserve">This information may be used to </w:t>
      </w:r>
      <w:r w:rsidR="00A70595" w:rsidRPr="00A97249">
        <w:rPr>
          <w:rFonts w:cstheme="minorHAnsi"/>
          <w:bCs/>
        </w:rPr>
        <w:t xml:space="preserve">identify areas </w:t>
      </w:r>
      <w:r w:rsidR="00FA1118" w:rsidRPr="00A97249">
        <w:rPr>
          <w:rFonts w:cstheme="minorHAnsi"/>
          <w:bCs/>
        </w:rPr>
        <w:t xml:space="preserve">where mortgage discrimination may be taking place, and </w:t>
      </w:r>
      <w:r w:rsidR="007F7FA7" w:rsidRPr="00A97249">
        <w:rPr>
          <w:rFonts w:cstheme="minorHAnsi"/>
          <w:bCs/>
        </w:rPr>
        <w:t xml:space="preserve">where efforts are needed to </w:t>
      </w:r>
      <w:r w:rsidR="00DF75E2" w:rsidRPr="00A97249">
        <w:rPr>
          <w:rFonts w:cstheme="minorHAnsi"/>
          <w:bCs/>
        </w:rPr>
        <w:t xml:space="preserve">improve </w:t>
      </w:r>
      <w:r w:rsidR="00D90932" w:rsidRPr="00A97249">
        <w:rPr>
          <w:rFonts w:cstheme="minorHAnsi"/>
          <w:bCs/>
        </w:rPr>
        <w:t xml:space="preserve">mortgage accessibility </w:t>
      </w:r>
      <w:r w:rsidR="008D4C71" w:rsidRPr="00A97249">
        <w:rPr>
          <w:rFonts w:cstheme="minorHAnsi"/>
          <w:bCs/>
        </w:rPr>
        <w:t xml:space="preserve">for </w:t>
      </w:r>
      <w:r w:rsidR="00505219" w:rsidRPr="00A97249">
        <w:rPr>
          <w:rFonts w:cstheme="minorHAnsi"/>
          <w:bCs/>
        </w:rPr>
        <w:t xml:space="preserve">Black Americans. </w:t>
      </w:r>
    </w:p>
    <w:p w14:paraId="5A7DDF4C" w14:textId="5BC39C49" w:rsidR="00696EFA" w:rsidRPr="00AB4398" w:rsidRDefault="00505219" w:rsidP="005B685F">
      <w:pPr>
        <w:pStyle w:val="ListParagraph"/>
        <w:numPr>
          <w:ilvl w:val="1"/>
          <w:numId w:val="14"/>
        </w:numPr>
        <w:rPr>
          <w:rFonts w:cstheme="minorHAnsi"/>
          <w:bCs/>
        </w:rPr>
      </w:pPr>
      <w:r w:rsidRPr="00AB4398">
        <w:rPr>
          <w:rFonts w:cstheme="minorHAnsi"/>
          <w:bCs/>
        </w:rPr>
        <w:t>[</w:t>
      </w:r>
      <w:r w:rsidR="00746735" w:rsidRPr="00AB4398">
        <w:rPr>
          <w:rFonts w:cstheme="minorHAnsi"/>
          <w:bCs/>
          <w:i/>
          <w:iCs/>
        </w:rPr>
        <w:t>Feas</w:t>
      </w:r>
      <w:r w:rsidR="00AB4398" w:rsidRPr="00AB4398">
        <w:rPr>
          <w:rFonts w:cstheme="minorHAnsi"/>
          <w:bCs/>
          <w:i/>
          <w:iCs/>
        </w:rPr>
        <w:t>ibility</w:t>
      </w:r>
      <w:r w:rsidRPr="00AB4398">
        <w:rPr>
          <w:rFonts w:cstheme="minorHAnsi"/>
          <w:bCs/>
        </w:rPr>
        <w:t>]</w:t>
      </w:r>
      <w:r w:rsidR="00864172" w:rsidRPr="00AB4398">
        <w:rPr>
          <w:rFonts w:cstheme="minorHAnsi"/>
          <w:bCs/>
        </w:rPr>
        <w:t xml:space="preserve"> </w:t>
      </w:r>
      <w:r w:rsidR="008D4C71" w:rsidRPr="00AB4398">
        <w:rPr>
          <w:rFonts w:cstheme="minorHAnsi"/>
          <w:bCs/>
        </w:rPr>
        <w:t xml:space="preserve">The </w:t>
      </w:r>
      <w:r w:rsidR="00864172" w:rsidRPr="00AB4398">
        <w:rPr>
          <w:rFonts w:cstheme="minorHAnsi"/>
          <w:bCs/>
        </w:rPr>
        <w:t>HMDA</w:t>
      </w:r>
      <w:r w:rsidR="00FD26B5" w:rsidRPr="00AB4398">
        <w:rPr>
          <w:rFonts w:cstheme="minorHAnsi"/>
          <w:bCs/>
        </w:rPr>
        <w:t xml:space="preserve"> Dataset is the most comprehensive source of information on the US mortgage market</w:t>
      </w:r>
      <w:proofErr w:type="gramStart"/>
      <w:r w:rsidR="00FD26B5" w:rsidRPr="00AB4398">
        <w:rPr>
          <w:rFonts w:cstheme="minorHAnsi"/>
          <w:bCs/>
        </w:rPr>
        <w:t xml:space="preserve">. </w:t>
      </w:r>
      <w:r w:rsidR="00864172" w:rsidRPr="00AB4398">
        <w:rPr>
          <w:rFonts w:cstheme="minorHAnsi"/>
          <w:bCs/>
        </w:rPr>
        <w:t xml:space="preserve"> </w:t>
      </w:r>
      <w:proofErr w:type="gramEnd"/>
      <w:r w:rsidR="00CA2951" w:rsidRPr="00AB4398">
        <w:rPr>
          <w:rFonts w:cstheme="minorHAnsi"/>
          <w:bCs/>
        </w:rPr>
        <w:t>F</w:t>
      </w:r>
      <w:r w:rsidR="00864172" w:rsidRPr="00AB4398">
        <w:rPr>
          <w:rFonts w:cstheme="minorHAnsi"/>
          <w:bCs/>
        </w:rPr>
        <w:t xml:space="preserve">inancial institutions </w:t>
      </w:r>
      <w:r w:rsidR="00CA2951" w:rsidRPr="00AB4398">
        <w:rPr>
          <w:rFonts w:cstheme="minorHAnsi"/>
          <w:bCs/>
        </w:rPr>
        <w:t xml:space="preserve">that are required </w:t>
      </w:r>
      <w:r w:rsidR="00864172" w:rsidRPr="00AB4398">
        <w:rPr>
          <w:rFonts w:cstheme="minorHAnsi"/>
          <w:bCs/>
        </w:rPr>
        <w:t xml:space="preserve">to </w:t>
      </w:r>
      <w:r w:rsidR="00F37A03" w:rsidRPr="00AB4398">
        <w:rPr>
          <w:rFonts w:cstheme="minorHAnsi"/>
          <w:bCs/>
        </w:rPr>
        <w:t>track and publicly report mortgage acceptance rates</w:t>
      </w:r>
      <w:r w:rsidR="00CA2951" w:rsidRPr="00AB4398">
        <w:rPr>
          <w:rFonts w:cstheme="minorHAnsi"/>
          <w:bCs/>
        </w:rPr>
        <w:t xml:space="preserve"> (</w:t>
      </w:r>
      <w:r w:rsidR="00F37A03" w:rsidRPr="00AB4398">
        <w:rPr>
          <w:rFonts w:cstheme="minorHAnsi"/>
          <w:bCs/>
        </w:rPr>
        <w:t>stratified by race</w:t>
      </w:r>
      <w:r w:rsidR="00CA2951" w:rsidRPr="00AB4398">
        <w:rPr>
          <w:rFonts w:cstheme="minorHAnsi"/>
          <w:bCs/>
        </w:rPr>
        <w:t>) report their results to HMDA</w:t>
      </w:r>
      <w:r w:rsidR="00F37A03" w:rsidRPr="00AB4398">
        <w:rPr>
          <w:rFonts w:cstheme="minorHAnsi"/>
          <w:bCs/>
        </w:rPr>
        <w:t>.</w:t>
      </w:r>
      <w:r w:rsidR="005E704E">
        <w:rPr>
          <w:rStyle w:val="FootnoteReference"/>
          <w:rFonts w:cstheme="minorHAnsi"/>
          <w:bCs/>
        </w:rPr>
        <w:footnoteReference w:id="6"/>
      </w:r>
      <w:r w:rsidR="00F37A03" w:rsidRPr="00AB4398">
        <w:rPr>
          <w:rFonts w:cstheme="minorHAnsi"/>
          <w:bCs/>
        </w:rPr>
        <w:t xml:space="preserve"> </w:t>
      </w:r>
      <w:r w:rsidR="00696EFA" w:rsidRPr="00AB4398">
        <w:rPr>
          <w:rFonts w:cstheme="minorHAnsi"/>
          <w:bCs/>
        </w:rPr>
        <w:t xml:space="preserve">HMDA data is released every year and publicly available. </w:t>
      </w:r>
    </w:p>
    <w:p w14:paraId="2E51B7B2" w14:textId="77777777" w:rsidR="00D85C3D" w:rsidRPr="00A97249" w:rsidRDefault="00D85C3D" w:rsidP="00B21683">
      <w:pPr>
        <w:pStyle w:val="ListParagraph"/>
        <w:numPr>
          <w:ilvl w:val="0"/>
          <w:numId w:val="14"/>
        </w:numPr>
        <w:rPr>
          <w:rFonts w:cstheme="minorHAnsi"/>
          <w:b/>
        </w:rPr>
      </w:pPr>
      <w:r w:rsidRPr="00A97249">
        <w:rPr>
          <w:rFonts w:cstheme="minorHAnsi"/>
          <w:b/>
        </w:rPr>
        <w:t>Limitations</w:t>
      </w:r>
      <w:r w:rsidRPr="00A97249">
        <w:rPr>
          <w:rFonts w:cstheme="minorHAnsi"/>
          <w:bCs/>
        </w:rPr>
        <w:t>:</w:t>
      </w:r>
      <w:r w:rsidRPr="00A97249">
        <w:rPr>
          <w:rFonts w:cstheme="minorHAnsi"/>
          <w:b/>
        </w:rPr>
        <w:t xml:space="preserve"> </w:t>
      </w:r>
    </w:p>
    <w:p w14:paraId="58E199E0" w14:textId="6D56AC9F" w:rsidR="00DF5FE1" w:rsidRPr="00A97249" w:rsidRDefault="00870F26" w:rsidP="009D03DB">
      <w:pPr>
        <w:numPr>
          <w:ilvl w:val="1"/>
          <w:numId w:val="14"/>
        </w:numPr>
        <w:rPr>
          <w:rFonts w:asciiTheme="minorHAnsi" w:hAnsiTheme="minorHAnsi" w:cstheme="minorHAnsi"/>
        </w:rPr>
      </w:pPr>
      <w:r w:rsidRPr="00A97249">
        <w:rPr>
          <w:rFonts w:asciiTheme="minorHAnsi" w:hAnsiTheme="minorHAnsi" w:cstheme="minorHAnsi"/>
        </w:rPr>
        <w:t>[</w:t>
      </w:r>
      <w:r w:rsidRPr="00A97249">
        <w:rPr>
          <w:rFonts w:asciiTheme="minorHAnsi" w:hAnsiTheme="minorHAnsi" w:cstheme="minorHAnsi"/>
          <w:i/>
          <w:iCs/>
        </w:rPr>
        <w:t>Scientific Soundness</w:t>
      </w:r>
      <w:r w:rsidRPr="00A97249">
        <w:rPr>
          <w:rFonts w:asciiTheme="minorHAnsi" w:hAnsiTheme="minorHAnsi" w:cstheme="minorHAnsi"/>
        </w:rPr>
        <w:t xml:space="preserve">] </w:t>
      </w:r>
      <w:r w:rsidR="006B75AA" w:rsidRPr="00A97249">
        <w:rPr>
          <w:rFonts w:asciiTheme="minorHAnsi" w:hAnsiTheme="minorHAnsi" w:cstheme="minorHAnsi"/>
        </w:rPr>
        <w:t xml:space="preserve">There has been some debate </w:t>
      </w:r>
      <w:r w:rsidR="004D7AC8" w:rsidRPr="00A97249">
        <w:rPr>
          <w:rFonts w:asciiTheme="minorHAnsi" w:hAnsiTheme="minorHAnsi" w:cstheme="minorHAnsi"/>
        </w:rPr>
        <w:t xml:space="preserve">over how mortgage acceptance rates should be compared </w:t>
      </w:r>
      <w:r w:rsidR="005C325B" w:rsidRPr="00A97249">
        <w:rPr>
          <w:rFonts w:asciiTheme="minorHAnsi" w:hAnsiTheme="minorHAnsi" w:cstheme="minorHAnsi"/>
        </w:rPr>
        <w:t>among different rac</w:t>
      </w:r>
      <w:r w:rsidR="00BC6544">
        <w:rPr>
          <w:rFonts w:asciiTheme="minorHAnsi" w:hAnsiTheme="minorHAnsi" w:cstheme="minorHAnsi"/>
        </w:rPr>
        <w:t>ial and ethnic groups</w:t>
      </w:r>
      <w:r w:rsidR="005C325B" w:rsidRPr="00A97249">
        <w:rPr>
          <w:rFonts w:asciiTheme="minorHAnsi" w:hAnsiTheme="minorHAnsi" w:cstheme="minorHAnsi"/>
        </w:rPr>
        <w:t xml:space="preserve">. The “observed acceptance rate” used in these data, </w:t>
      </w:r>
      <w:r w:rsidR="00475C0E" w:rsidRPr="00A97249">
        <w:rPr>
          <w:rFonts w:asciiTheme="minorHAnsi" w:hAnsiTheme="minorHAnsi" w:cstheme="minorHAnsi"/>
        </w:rPr>
        <w:t xml:space="preserve">is </w:t>
      </w:r>
      <w:r w:rsidR="00873BE5" w:rsidRPr="00A97249">
        <w:rPr>
          <w:rFonts w:asciiTheme="minorHAnsi" w:hAnsiTheme="minorHAnsi" w:cstheme="minorHAnsi"/>
        </w:rPr>
        <w:t>a simple comparison of rates by race</w:t>
      </w:r>
      <w:r w:rsidR="00FF2545">
        <w:rPr>
          <w:rFonts w:asciiTheme="minorHAnsi" w:hAnsiTheme="minorHAnsi" w:cstheme="minorHAnsi"/>
        </w:rPr>
        <w:t xml:space="preserve"> and ethnicity</w:t>
      </w:r>
      <w:r w:rsidR="00873BE5" w:rsidRPr="00A97249">
        <w:rPr>
          <w:rFonts w:asciiTheme="minorHAnsi" w:hAnsiTheme="minorHAnsi" w:cstheme="minorHAnsi"/>
        </w:rPr>
        <w:t xml:space="preserve"> and </w:t>
      </w:r>
      <w:r w:rsidR="005C325B" w:rsidRPr="00A97249">
        <w:rPr>
          <w:rFonts w:asciiTheme="minorHAnsi" w:hAnsiTheme="minorHAnsi" w:cstheme="minorHAnsi"/>
        </w:rPr>
        <w:t xml:space="preserve">does not account for </w:t>
      </w:r>
      <w:r w:rsidR="00475C0E" w:rsidRPr="00A97249">
        <w:rPr>
          <w:rFonts w:asciiTheme="minorHAnsi" w:hAnsiTheme="minorHAnsi" w:cstheme="minorHAnsi"/>
        </w:rPr>
        <w:t xml:space="preserve">the </w:t>
      </w:r>
      <w:r w:rsidR="0083514B" w:rsidRPr="00A97249">
        <w:rPr>
          <w:rFonts w:asciiTheme="minorHAnsi" w:hAnsiTheme="minorHAnsi" w:cstheme="minorHAnsi"/>
        </w:rPr>
        <w:t>“</w:t>
      </w:r>
      <w:r w:rsidR="00475C0E" w:rsidRPr="00A97249">
        <w:rPr>
          <w:rFonts w:asciiTheme="minorHAnsi" w:hAnsiTheme="minorHAnsi" w:cstheme="minorHAnsi"/>
        </w:rPr>
        <w:t>creditworthiness</w:t>
      </w:r>
      <w:r w:rsidR="0083514B" w:rsidRPr="00A97249">
        <w:rPr>
          <w:rFonts w:asciiTheme="minorHAnsi" w:hAnsiTheme="minorHAnsi" w:cstheme="minorHAnsi"/>
        </w:rPr>
        <w:t>”</w:t>
      </w:r>
      <w:r w:rsidR="00475C0E" w:rsidRPr="00A97249">
        <w:rPr>
          <w:rFonts w:asciiTheme="minorHAnsi" w:hAnsiTheme="minorHAnsi" w:cstheme="minorHAnsi"/>
        </w:rPr>
        <w:t xml:space="preserve"> of applicants</w:t>
      </w:r>
      <w:r w:rsidR="00873BE5" w:rsidRPr="00A97249">
        <w:rPr>
          <w:rFonts w:asciiTheme="minorHAnsi" w:hAnsiTheme="minorHAnsi" w:cstheme="minorHAnsi"/>
        </w:rPr>
        <w:t>.</w:t>
      </w:r>
      <w:r w:rsidR="005329CA" w:rsidRPr="00A97249">
        <w:rPr>
          <w:rFonts w:asciiTheme="minorHAnsi" w:hAnsiTheme="minorHAnsi" w:cstheme="minorHAnsi"/>
        </w:rPr>
        <w:t xml:space="preserve"> When credit is </w:t>
      </w:r>
      <w:r w:rsidR="00DC7598" w:rsidRPr="00A97249">
        <w:rPr>
          <w:rFonts w:asciiTheme="minorHAnsi" w:hAnsiTheme="minorHAnsi" w:cstheme="minorHAnsi"/>
        </w:rPr>
        <w:t>considered,</w:t>
      </w:r>
      <w:r w:rsidR="005329CA" w:rsidRPr="00A97249">
        <w:rPr>
          <w:rFonts w:asciiTheme="minorHAnsi" w:hAnsiTheme="minorHAnsi" w:cstheme="minorHAnsi"/>
        </w:rPr>
        <w:t xml:space="preserve"> the disparity between mortgage rates</w:t>
      </w:r>
      <w:r w:rsidR="00204CE0" w:rsidRPr="00A97249">
        <w:rPr>
          <w:rFonts w:asciiTheme="minorHAnsi" w:hAnsiTheme="minorHAnsi" w:cstheme="minorHAnsi"/>
        </w:rPr>
        <w:t xml:space="preserve"> for White and Black Americans decreases</w:t>
      </w:r>
      <w:r w:rsidR="0083514B" w:rsidRPr="00A97249">
        <w:rPr>
          <w:rFonts w:asciiTheme="minorHAnsi" w:hAnsiTheme="minorHAnsi" w:cstheme="minorHAnsi"/>
        </w:rPr>
        <w:t xml:space="preserve"> in magnitude</w:t>
      </w:r>
      <w:r w:rsidR="00204CE0" w:rsidRPr="00A97249">
        <w:rPr>
          <w:rFonts w:asciiTheme="minorHAnsi" w:hAnsiTheme="minorHAnsi" w:cstheme="minorHAnsi"/>
        </w:rPr>
        <w:t>.</w:t>
      </w:r>
      <w:r w:rsidR="00426C33" w:rsidRPr="00A97249">
        <w:rPr>
          <w:rStyle w:val="FootnoteReference"/>
          <w:rFonts w:asciiTheme="minorHAnsi" w:hAnsiTheme="minorHAnsi" w:cstheme="minorHAnsi"/>
        </w:rPr>
        <w:footnoteReference w:id="7"/>
      </w:r>
      <w:r w:rsidR="00426C33" w:rsidRPr="00A97249">
        <w:rPr>
          <w:rFonts w:asciiTheme="minorHAnsi" w:hAnsiTheme="minorHAnsi" w:cstheme="minorHAnsi"/>
        </w:rPr>
        <w:t xml:space="preserve"> Because the ability to build credit is </w:t>
      </w:r>
      <w:r w:rsidR="00DC7598" w:rsidRPr="00A97249">
        <w:rPr>
          <w:rFonts w:asciiTheme="minorHAnsi" w:hAnsiTheme="minorHAnsi" w:cstheme="minorHAnsi"/>
        </w:rPr>
        <w:t xml:space="preserve">directly related to historic discrimination of people of color, however, </w:t>
      </w:r>
      <w:r w:rsidR="00CB0A83" w:rsidRPr="00A97249">
        <w:rPr>
          <w:rFonts w:asciiTheme="minorHAnsi" w:hAnsiTheme="minorHAnsi" w:cstheme="minorHAnsi"/>
        </w:rPr>
        <w:t>we have chosen to use the observed rate of mortgage acceptance</w:t>
      </w:r>
      <w:r w:rsidR="009B3848">
        <w:rPr>
          <w:rFonts w:asciiTheme="minorHAnsi" w:hAnsiTheme="minorHAnsi" w:cstheme="minorHAnsi"/>
        </w:rPr>
        <w:t>s</w:t>
      </w:r>
      <w:r w:rsidR="00CB0A83" w:rsidRPr="00A97249">
        <w:rPr>
          <w:rFonts w:asciiTheme="minorHAnsi" w:hAnsiTheme="minorHAnsi" w:cstheme="minorHAnsi"/>
        </w:rPr>
        <w:t xml:space="preserve"> to account for </w:t>
      </w:r>
      <w:r w:rsidR="00D2364A" w:rsidRPr="00A97249">
        <w:rPr>
          <w:rFonts w:asciiTheme="minorHAnsi" w:hAnsiTheme="minorHAnsi" w:cstheme="minorHAnsi"/>
        </w:rPr>
        <w:t xml:space="preserve">present-day discrimination as well as historic disenfranchisement. </w:t>
      </w:r>
    </w:p>
    <w:p w14:paraId="01911E8F" w14:textId="77777777" w:rsidR="00D9102D" w:rsidRPr="00DF5FE1" w:rsidRDefault="00D9102D" w:rsidP="0051687D">
      <w:pPr>
        <w:ind w:left="1440"/>
        <w:rPr>
          <w:rFonts w:asciiTheme="minorHAnsi" w:hAnsiTheme="minorHAnsi" w:cstheme="minorHAnsi"/>
          <w:b/>
          <w:bCs/>
        </w:rPr>
      </w:pPr>
    </w:p>
    <w:p w14:paraId="7305B90C" w14:textId="5008809D" w:rsidR="00A16408" w:rsidRPr="00C34FA4" w:rsidRDefault="00523739" w:rsidP="00A16408">
      <w:pPr>
        <w:rPr>
          <w:rFonts w:asciiTheme="minorHAnsi" w:hAnsiTheme="minorHAnsi" w:cstheme="minorHAnsi"/>
        </w:rPr>
      </w:pPr>
      <w:r w:rsidRPr="00DF5FE1">
        <w:rPr>
          <w:rFonts w:asciiTheme="minorHAnsi" w:hAnsiTheme="minorHAnsi" w:cstheme="minorHAnsi"/>
          <w:b/>
          <w:bCs/>
        </w:rPr>
        <w:t xml:space="preserve">Default </w:t>
      </w:r>
      <w:r w:rsidR="00EC670E" w:rsidRPr="00DF5FE1">
        <w:rPr>
          <w:rFonts w:asciiTheme="minorHAnsi" w:hAnsiTheme="minorHAnsi" w:cstheme="minorHAnsi"/>
          <w:b/>
          <w:bCs/>
        </w:rPr>
        <w:t>Weight</w:t>
      </w:r>
      <w:r w:rsidR="00FA2ED2" w:rsidRPr="00DF5FE1">
        <w:rPr>
          <w:rFonts w:asciiTheme="minorHAnsi" w:hAnsiTheme="minorHAnsi" w:cstheme="minorHAnsi"/>
        </w:rPr>
        <w:t>:</w:t>
      </w:r>
      <w:r w:rsidR="00EC670E" w:rsidRPr="00DF5FE1">
        <w:rPr>
          <w:rFonts w:asciiTheme="minorHAnsi" w:hAnsiTheme="minorHAnsi" w:cstheme="minorHAnsi"/>
          <w:b/>
          <w:bCs/>
        </w:rPr>
        <w:t xml:space="preserve"> </w:t>
      </w:r>
      <w:r w:rsidR="00C34FA4" w:rsidRPr="00C34FA4">
        <w:rPr>
          <w:rFonts w:asciiTheme="minorHAnsi" w:hAnsiTheme="minorHAnsi" w:cstheme="minorHAnsi"/>
        </w:rPr>
        <w:t xml:space="preserve">4.3% </w:t>
      </w:r>
      <w:r w:rsidR="00C34FA4" w:rsidRPr="00C34FA4">
        <w:rPr>
          <w:rFonts w:asciiTheme="minorHAnsi" w:hAnsiTheme="minorHAnsi" w:cstheme="minorHAnsi"/>
          <w:sz w:val="20"/>
          <w:szCs w:val="20"/>
        </w:rPr>
        <w:t>(</w:t>
      </w:r>
      <w:r w:rsidR="00C34FA4" w:rsidRPr="00C34FA4">
        <w:rPr>
          <w:rFonts w:asciiTheme="minorHAnsi" w:hAnsiTheme="minorHAnsi" w:cstheme="minorHAnsi"/>
          <w:i/>
          <w:iCs/>
          <w:sz w:val="20"/>
          <w:szCs w:val="20"/>
        </w:rPr>
        <w:t>see Weighting Documentation for details on how default weights were assigned</w:t>
      </w:r>
      <w:r w:rsidR="00C34FA4" w:rsidRPr="00C34FA4">
        <w:rPr>
          <w:rFonts w:asciiTheme="minorHAnsi" w:hAnsiTheme="minorHAnsi" w:cstheme="minorHAnsi"/>
          <w:sz w:val="20"/>
          <w:szCs w:val="20"/>
        </w:rPr>
        <w:t>)</w:t>
      </w:r>
    </w:p>
    <w:p w14:paraId="4E0AAE59" w14:textId="77777777" w:rsidR="00FA2ED2" w:rsidRPr="00C34FA4" w:rsidRDefault="00FA2ED2" w:rsidP="00A16408">
      <w:pPr>
        <w:rPr>
          <w:rFonts w:asciiTheme="minorHAnsi" w:hAnsiTheme="minorHAnsi" w:cstheme="minorHAnsi"/>
          <w:b/>
          <w:bCs/>
        </w:rPr>
      </w:pPr>
    </w:p>
    <w:p w14:paraId="400BBB33" w14:textId="373E9091" w:rsidR="00A16408" w:rsidRPr="007E3A79" w:rsidRDefault="00A16408" w:rsidP="00A16408">
      <w:pPr>
        <w:rPr>
          <w:rFonts w:asciiTheme="minorHAnsi" w:hAnsiTheme="minorHAnsi" w:cstheme="minorHAnsi"/>
        </w:rPr>
      </w:pPr>
      <w:r w:rsidRPr="007E3A79">
        <w:rPr>
          <w:rFonts w:asciiTheme="minorHAnsi" w:hAnsiTheme="minorHAnsi" w:cstheme="minorHAnsi"/>
          <w:b/>
          <w:bCs/>
        </w:rPr>
        <w:t>Calculation</w:t>
      </w:r>
      <w:r w:rsidR="00FA2ED2" w:rsidRPr="007E3A79">
        <w:rPr>
          <w:rFonts w:asciiTheme="minorHAnsi" w:hAnsiTheme="minorHAnsi" w:cstheme="minorHAnsi"/>
        </w:rPr>
        <w:t>:</w:t>
      </w:r>
    </w:p>
    <w:p w14:paraId="3F9D6D83" w14:textId="130D9518" w:rsidR="00A71B9C" w:rsidRDefault="00A71B9C" w:rsidP="00D27E5C">
      <w:pPr>
        <w:rPr>
          <w:rFonts w:asciiTheme="minorHAnsi" w:hAnsiTheme="minorHAnsi" w:cstheme="minorHAnsi"/>
        </w:rPr>
      </w:pPr>
    </w:p>
    <w:p w14:paraId="0B1D67E1" w14:textId="685F103B" w:rsidR="00F16EDF" w:rsidRDefault="00F16EDF" w:rsidP="00D27E5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Note – </w:t>
      </w:r>
      <w:r w:rsidR="00DF2021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alculations are based on the race of the primary applicant for the mortgage application.</w:t>
      </w:r>
    </w:p>
    <w:p w14:paraId="05D337BA" w14:textId="77777777" w:rsidR="00F16EDF" w:rsidRDefault="00F16EDF" w:rsidP="00D27E5C">
      <w:pPr>
        <w:rPr>
          <w:rFonts w:asciiTheme="minorHAnsi" w:hAnsiTheme="minorHAnsi" w:cstheme="minorHAnsi"/>
        </w:rPr>
      </w:pPr>
    </w:p>
    <w:p w14:paraId="26225E9E" w14:textId="516BC673" w:rsidR="00A71B9C" w:rsidRDefault="00A71B9C" w:rsidP="00D27E5C">
      <w:pPr>
        <w:rPr>
          <w:rFonts w:asciiTheme="minorHAnsi" w:hAnsiTheme="minorHAnsi" w:cstheme="minorHAnsi"/>
          <w:i/>
          <w:iCs/>
        </w:rPr>
      </w:pPr>
      <w:r w:rsidRPr="003C3CDB">
        <w:rPr>
          <w:rFonts w:asciiTheme="minorHAnsi" w:hAnsiTheme="minorHAnsi" w:cstheme="minorHAnsi"/>
          <w:i/>
          <w:iCs/>
          <w:u w:val="single"/>
        </w:rPr>
        <w:t>Overall Population</w:t>
      </w:r>
      <w:r w:rsidR="008435F0" w:rsidRPr="00C34FA4">
        <w:rPr>
          <w:rFonts w:asciiTheme="minorHAnsi" w:hAnsiTheme="minorHAnsi" w:cstheme="minorHAnsi"/>
          <w:i/>
          <w:iCs/>
          <w:u w:val="single"/>
        </w:rPr>
        <w:t xml:space="preserve"> Calculation</w:t>
      </w:r>
      <w:r w:rsidR="005F3320" w:rsidRPr="00B83330">
        <w:rPr>
          <w:rFonts w:asciiTheme="minorHAnsi" w:hAnsiTheme="minorHAnsi" w:cstheme="minorHAnsi"/>
          <w:i/>
          <w:iCs/>
        </w:rPr>
        <w:t>:</w:t>
      </w:r>
    </w:p>
    <w:p w14:paraId="5334876F" w14:textId="77777777" w:rsidR="00F16EDF" w:rsidRPr="00B83330" w:rsidRDefault="00F16EDF" w:rsidP="00D27E5C">
      <w:pPr>
        <w:rPr>
          <w:rFonts w:asciiTheme="minorHAnsi" w:hAnsiTheme="minorHAnsi" w:cstheme="minorHAnsi"/>
          <w:i/>
          <w:iCs/>
        </w:rPr>
      </w:pPr>
    </w:p>
    <w:p w14:paraId="54958013" w14:textId="592CF529" w:rsidR="0049526B" w:rsidRPr="00A622FB" w:rsidRDefault="009B5A4F" w:rsidP="06127288">
      <w:pPr>
        <w:rPr>
          <w:rFonts w:asciiTheme="minorHAnsi" w:hAnsiTheme="minorHAnsi" w:cstheme="minorBidi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inorBidi"/>
                  <w:sz w:val="18"/>
                  <w:szCs w:val="18"/>
                </w:rPr>
                <m:t>Mortgage Acceptance Rate Difference</m:t>
              </m:r>
            </m:e>
            <m:sub>
              <m:r>
                <w:rPr>
                  <w:rFonts w:ascii="Cambria Math" w:hAnsi="Cambria Math" w:cstheme="minorBidi"/>
                  <w:sz w:val="18"/>
                  <w:szCs w:val="18"/>
                </w:rPr>
                <m:t>Overall</m:t>
              </m:r>
            </m:sub>
          </m:sSub>
          <m:r>
            <w:rPr>
              <w:rFonts w:ascii="Cambria Math" w:hAnsi="Cambria Math" w:cstheme="minorBidi"/>
              <w:sz w:val="18"/>
              <w:szCs w:val="18"/>
            </w:rPr>
            <m:t>=</m:t>
          </m:r>
        </m:oMath>
      </m:oMathPara>
    </w:p>
    <w:p w14:paraId="7C225442" w14:textId="67367994" w:rsidR="0043612D" w:rsidRPr="00A622FB" w:rsidRDefault="009B5A4F" w:rsidP="06127288">
      <w:pPr>
        <w:rPr>
          <w:rFonts w:asciiTheme="minorHAnsi" w:hAnsiTheme="minorHAnsi" w:cstheme="minorBidi"/>
          <w:sz w:val="18"/>
          <w:szCs w:val="18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#  applications accepted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 xml:space="preserve"> All applicants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# applications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 xml:space="preserve"> All applicants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theme="minorHAnsi"/>
                  <w:sz w:val="18"/>
                  <w:szCs w:val="18"/>
                </w:rPr>
                <m:t xml:space="preserve">-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# applications accepted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 xml:space="preserve"> Non-white applicants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# applications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 xml:space="preserve"> Non-white applicants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theme="minorHAnsi"/>
              <w:sz w:val="18"/>
              <w:szCs w:val="18"/>
            </w:rPr>
            <m:t xml:space="preserve"> x 100%</m:t>
          </m:r>
        </m:oMath>
      </m:oMathPara>
    </w:p>
    <w:p w14:paraId="3B89DACB" w14:textId="4684F3D8" w:rsidR="008962F1" w:rsidRDefault="008962F1" w:rsidP="006230FC">
      <w:pPr>
        <w:rPr>
          <w:rFonts w:asciiTheme="minorHAnsi" w:hAnsiTheme="minorHAnsi" w:cstheme="minorHAnsi"/>
        </w:rPr>
      </w:pPr>
    </w:p>
    <w:p w14:paraId="6F615460" w14:textId="0BD1E301" w:rsidR="00F16EDF" w:rsidRDefault="005F3320" w:rsidP="06127288">
      <w:pPr>
        <w:rPr>
          <w:rFonts w:asciiTheme="minorHAnsi" w:hAnsiTheme="minorHAnsi" w:cstheme="minorBidi"/>
        </w:rPr>
      </w:pPr>
      <w:r w:rsidRPr="003C3CDB">
        <w:rPr>
          <w:rFonts w:asciiTheme="minorHAnsi" w:hAnsiTheme="minorHAnsi" w:cstheme="minorHAnsi"/>
          <w:i/>
          <w:iCs/>
          <w:u w:val="single"/>
        </w:rPr>
        <w:t>Black Population</w:t>
      </w:r>
      <w:r w:rsidR="008435F0" w:rsidRPr="00C34FA4">
        <w:rPr>
          <w:rFonts w:asciiTheme="minorHAnsi" w:hAnsiTheme="minorHAnsi" w:cstheme="minorHAnsi"/>
          <w:i/>
          <w:iCs/>
          <w:u w:val="single"/>
        </w:rPr>
        <w:t xml:space="preserve"> Calculation</w:t>
      </w:r>
      <w:r w:rsidRPr="00B83330">
        <w:rPr>
          <w:rFonts w:asciiTheme="minorHAnsi" w:hAnsiTheme="minorHAnsi" w:cstheme="minorHAnsi"/>
          <w:i/>
          <w:iCs/>
        </w:rPr>
        <w:t>:</w:t>
      </w:r>
    </w:p>
    <w:p w14:paraId="1BBEFB51" w14:textId="77777777" w:rsidR="0021322C" w:rsidRPr="00B83330" w:rsidRDefault="0021322C" w:rsidP="008962F1">
      <w:pPr>
        <w:rPr>
          <w:rFonts w:asciiTheme="minorHAnsi" w:hAnsiTheme="minorHAnsi" w:cstheme="minorHAnsi"/>
          <w:i/>
          <w:iCs/>
        </w:rPr>
      </w:pPr>
    </w:p>
    <w:p w14:paraId="314F5ECB" w14:textId="77777777" w:rsidR="0049526B" w:rsidRPr="00A622FB" w:rsidRDefault="009B5A4F" w:rsidP="0049526B">
      <w:pPr>
        <w:rPr>
          <w:rFonts w:asciiTheme="minorHAnsi" w:hAnsiTheme="minorHAnsi" w:cstheme="minorHAnsi"/>
          <w:i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Bid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inorBidi"/>
                  <w:sz w:val="18"/>
                  <w:szCs w:val="18"/>
                </w:rPr>
                <m:t>Mortgage Acceptance Rate Difference</m:t>
              </m:r>
            </m:e>
            <m:sub>
              <m:r>
                <w:rPr>
                  <w:rFonts w:ascii="Cambria Math" w:hAnsi="Cambria Math" w:cstheme="minorBidi"/>
                  <w:sz w:val="18"/>
                  <w:szCs w:val="18"/>
                </w:rPr>
                <m:t>Black</m:t>
              </m:r>
            </m:sub>
          </m:sSub>
          <m:r>
            <w:rPr>
              <w:rFonts w:ascii="Cambria Math" w:hAnsi="Cambria Math" w:cstheme="minorBidi"/>
              <w:sz w:val="18"/>
              <w:szCs w:val="18"/>
            </w:rPr>
            <m:t>=</m:t>
          </m:r>
        </m:oMath>
      </m:oMathPara>
    </w:p>
    <w:p w14:paraId="723BB7C2" w14:textId="72E98D88" w:rsidR="0049526B" w:rsidRPr="00D53EB9" w:rsidRDefault="009B5A4F" w:rsidP="0049526B">
      <w:pPr>
        <w:rPr>
          <w:rFonts w:asciiTheme="minorHAnsi" w:hAnsiTheme="minorHAnsi" w:cstheme="minorBidi"/>
          <w:sz w:val="18"/>
          <w:szCs w:val="18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#  applications accepted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 xml:space="preserve"> All applicants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# applications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 xml:space="preserve"> All applicants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theme="minorHAnsi"/>
                  <w:sz w:val="18"/>
                  <w:szCs w:val="18"/>
                </w:rPr>
                <m:t xml:space="preserve">-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# applications accepted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Black applicants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# applications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 xml:space="preserve"> Black applicants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theme="minorHAnsi"/>
              <w:sz w:val="18"/>
              <w:szCs w:val="18"/>
            </w:rPr>
            <m:t>x 100%</m:t>
          </m:r>
        </m:oMath>
      </m:oMathPara>
    </w:p>
    <w:p w14:paraId="758B915D" w14:textId="77777777" w:rsidR="008962F1" w:rsidRDefault="008962F1" w:rsidP="006230FC">
      <w:pPr>
        <w:rPr>
          <w:rFonts w:asciiTheme="minorHAnsi" w:hAnsiTheme="minorHAnsi" w:cstheme="minorHAnsi"/>
        </w:rPr>
      </w:pPr>
    </w:p>
    <w:p w14:paraId="2AD80EFB" w14:textId="20BCBDC8" w:rsidR="0066371C" w:rsidRPr="007E3A79" w:rsidRDefault="0066371C" w:rsidP="00187AFD">
      <w:pPr>
        <w:rPr>
          <w:rFonts w:asciiTheme="minorHAnsi" w:hAnsiTheme="minorHAnsi" w:cstheme="minorHAnsi"/>
        </w:rPr>
      </w:pPr>
    </w:p>
    <w:sectPr w:rsidR="0066371C" w:rsidRPr="007E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6A91E" w14:textId="77777777" w:rsidR="009B5A4F" w:rsidRDefault="009B5A4F" w:rsidP="00621422">
      <w:r>
        <w:separator/>
      </w:r>
    </w:p>
  </w:endnote>
  <w:endnote w:type="continuationSeparator" w:id="0">
    <w:p w14:paraId="20A16DED" w14:textId="77777777" w:rsidR="009B5A4F" w:rsidRDefault="009B5A4F" w:rsidP="00621422">
      <w:r>
        <w:continuationSeparator/>
      </w:r>
    </w:p>
  </w:endnote>
  <w:endnote w:type="continuationNotice" w:id="1">
    <w:p w14:paraId="435EA532" w14:textId="77777777" w:rsidR="009B5A4F" w:rsidRDefault="009B5A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1AC2A" w14:textId="77777777" w:rsidR="009B5A4F" w:rsidRDefault="009B5A4F" w:rsidP="00621422">
      <w:r>
        <w:separator/>
      </w:r>
    </w:p>
  </w:footnote>
  <w:footnote w:type="continuationSeparator" w:id="0">
    <w:p w14:paraId="12CE3A5C" w14:textId="77777777" w:rsidR="009B5A4F" w:rsidRDefault="009B5A4F" w:rsidP="00621422">
      <w:r>
        <w:continuationSeparator/>
      </w:r>
    </w:p>
  </w:footnote>
  <w:footnote w:type="continuationNotice" w:id="1">
    <w:p w14:paraId="2C3BE781" w14:textId="77777777" w:rsidR="009B5A4F" w:rsidRDefault="009B5A4F"/>
  </w:footnote>
  <w:footnote w:id="2">
    <w:p w14:paraId="42785DD8" w14:textId="77030E06" w:rsidR="00C27D4A" w:rsidRPr="00C34FA4" w:rsidRDefault="00C27D4A" w:rsidP="00C34FA4">
      <w:pPr>
        <w:ind w:left="720" w:hanging="720"/>
        <w:rPr>
          <w:rFonts w:asciiTheme="minorHAnsi" w:hAnsiTheme="minorHAnsi" w:cstheme="minorHAnsi"/>
          <w:sz w:val="20"/>
          <w:szCs w:val="20"/>
        </w:rPr>
      </w:pPr>
      <w:r w:rsidRPr="00C34FA4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C34FA4">
        <w:rPr>
          <w:rFonts w:asciiTheme="minorHAnsi" w:hAnsiTheme="minorHAnsi" w:cstheme="minorHAnsi"/>
          <w:sz w:val="20"/>
          <w:szCs w:val="20"/>
        </w:rPr>
        <w:t xml:space="preserve"> </w:t>
      </w:r>
      <w:r w:rsidR="00841342" w:rsidRPr="00C34FA4">
        <w:rPr>
          <w:rFonts w:asciiTheme="minorHAnsi" w:hAnsiTheme="minorHAnsi" w:cstheme="minorHAnsi"/>
          <w:sz w:val="20"/>
          <w:szCs w:val="20"/>
        </w:rPr>
        <w:t>Hanks, A., Solomon, D., &amp; Weller, C. (2018, February 21). </w:t>
      </w:r>
      <w:r w:rsidR="00841342" w:rsidRPr="00C34FA4">
        <w:rPr>
          <w:rFonts w:asciiTheme="minorHAnsi" w:hAnsiTheme="minorHAnsi" w:cstheme="minorHAnsi"/>
          <w:i/>
          <w:iCs/>
          <w:sz w:val="20"/>
          <w:szCs w:val="20"/>
        </w:rPr>
        <w:t xml:space="preserve">Systemic Inequality: How America’s Structural Racism Helped Create the Black-White Wealth Gap. </w:t>
      </w:r>
      <w:r w:rsidR="00841342" w:rsidRPr="00C34FA4">
        <w:rPr>
          <w:rFonts w:asciiTheme="minorHAnsi" w:hAnsiTheme="minorHAnsi" w:cstheme="minorHAnsi"/>
          <w:sz w:val="20"/>
          <w:szCs w:val="20"/>
        </w:rPr>
        <w:t xml:space="preserve">Center for American Progress; Center for American Progress. </w:t>
      </w:r>
      <w:hyperlink r:id="rId1" w:history="1">
        <w:r w:rsidR="00C32B63" w:rsidRPr="00C34FA4">
          <w:rPr>
            <w:rStyle w:val="Hyperlink"/>
            <w:rFonts w:asciiTheme="minorHAnsi" w:hAnsiTheme="minorHAnsi" w:cstheme="minorHAnsi"/>
            <w:sz w:val="20"/>
            <w:szCs w:val="20"/>
          </w:rPr>
          <w:t>https://www.americanprogress.org/issues/race/reports/2018/02/21/447051/systematic-inequality/</w:t>
        </w:r>
      </w:hyperlink>
      <w:r w:rsidR="00C32B63" w:rsidRPr="00C34FA4">
        <w:rPr>
          <w:rFonts w:asciiTheme="minorHAnsi" w:hAnsiTheme="minorHAnsi" w:cstheme="minorHAnsi"/>
          <w:sz w:val="20"/>
          <w:szCs w:val="20"/>
        </w:rPr>
        <w:t xml:space="preserve"> </w:t>
      </w:r>
    </w:p>
  </w:footnote>
  <w:footnote w:id="3">
    <w:p w14:paraId="0AF00141" w14:textId="3C790A2B" w:rsidR="00B61658" w:rsidRPr="00C34FA4" w:rsidRDefault="00B61658" w:rsidP="00C34FA4">
      <w:pPr>
        <w:ind w:left="720" w:hanging="720"/>
        <w:rPr>
          <w:rFonts w:asciiTheme="minorHAnsi" w:hAnsiTheme="minorHAnsi" w:cstheme="minorHAnsi"/>
          <w:sz w:val="20"/>
          <w:szCs w:val="20"/>
        </w:rPr>
      </w:pPr>
      <w:r w:rsidRPr="00C34FA4">
        <w:rPr>
          <w:rFonts w:asciiTheme="minorHAnsi" w:hAnsiTheme="minorHAnsi" w:cstheme="minorHAnsi"/>
          <w:sz w:val="20"/>
          <w:szCs w:val="20"/>
          <w:vertAlign w:val="superscript"/>
        </w:rPr>
        <w:footnoteRef/>
      </w:r>
      <w:r w:rsidRPr="00C34FA4">
        <w:rPr>
          <w:rFonts w:asciiTheme="minorHAnsi" w:hAnsiTheme="minorHAnsi" w:cstheme="minorHAnsi"/>
          <w:sz w:val="20"/>
          <w:szCs w:val="20"/>
          <w:vertAlign w:val="superscript"/>
        </w:rPr>
        <w:t xml:space="preserve"> </w:t>
      </w:r>
      <w:r w:rsidR="00316382" w:rsidRPr="00C34FA4">
        <w:rPr>
          <w:rFonts w:asciiTheme="minorHAnsi" w:hAnsiTheme="minorHAnsi" w:cstheme="minorHAnsi"/>
          <w:sz w:val="20"/>
          <w:szCs w:val="20"/>
        </w:rPr>
        <w:t xml:space="preserve">Lynch, E. E., </w:t>
      </w:r>
      <w:proofErr w:type="spellStart"/>
      <w:r w:rsidR="00316382" w:rsidRPr="00C34FA4">
        <w:rPr>
          <w:rFonts w:asciiTheme="minorHAnsi" w:hAnsiTheme="minorHAnsi" w:cstheme="minorHAnsi"/>
          <w:sz w:val="20"/>
          <w:szCs w:val="20"/>
        </w:rPr>
        <w:t>Malcoe</w:t>
      </w:r>
      <w:proofErr w:type="spellEnd"/>
      <w:r w:rsidR="00316382" w:rsidRPr="00C34FA4">
        <w:rPr>
          <w:rFonts w:asciiTheme="minorHAnsi" w:hAnsiTheme="minorHAnsi" w:cstheme="minorHAnsi"/>
          <w:sz w:val="20"/>
          <w:szCs w:val="20"/>
        </w:rPr>
        <w:t>, L. H., Laurent, S. E., Richardson, J., Mitchell, B. C., &amp; Meier, H. C. S. (2021). The Legacy of Structural Racism: Associations Between Historic Redlining, Current Mortgage Lending, and Health. </w:t>
      </w:r>
      <w:r w:rsidR="00316382" w:rsidRPr="00C34FA4">
        <w:rPr>
          <w:rFonts w:asciiTheme="minorHAnsi" w:hAnsiTheme="minorHAnsi" w:cstheme="minorHAnsi"/>
          <w:i/>
          <w:iCs/>
          <w:sz w:val="20"/>
          <w:szCs w:val="20"/>
        </w:rPr>
        <w:t>SSM - Population Health</w:t>
      </w:r>
      <w:r w:rsidR="00316382" w:rsidRPr="00C34FA4">
        <w:rPr>
          <w:rFonts w:asciiTheme="minorHAnsi" w:hAnsiTheme="minorHAnsi" w:cstheme="minorHAnsi"/>
          <w:sz w:val="20"/>
          <w:szCs w:val="20"/>
        </w:rPr>
        <w:t xml:space="preserve">, 14, 100793. </w:t>
      </w:r>
      <w:hyperlink r:id="rId2" w:history="1">
        <w:r w:rsidR="00C32B63" w:rsidRPr="00C34FA4">
          <w:rPr>
            <w:rStyle w:val="Hyperlink"/>
            <w:rFonts w:asciiTheme="minorHAnsi" w:hAnsiTheme="minorHAnsi" w:cstheme="minorHAnsi"/>
            <w:sz w:val="20"/>
            <w:szCs w:val="20"/>
          </w:rPr>
          <w:t>https://doi.org/10.1016/j.ssmph.2021.100793</w:t>
        </w:r>
      </w:hyperlink>
      <w:r w:rsidR="00C32B63" w:rsidRPr="00C34FA4">
        <w:rPr>
          <w:rFonts w:asciiTheme="minorHAnsi" w:hAnsiTheme="minorHAnsi" w:cstheme="minorHAnsi"/>
          <w:sz w:val="20"/>
          <w:szCs w:val="20"/>
        </w:rPr>
        <w:t xml:space="preserve"> </w:t>
      </w:r>
      <w:hyperlink w:history="1"/>
    </w:p>
  </w:footnote>
  <w:footnote w:id="4">
    <w:p w14:paraId="2FCC63D0" w14:textId="361E11C9" w:rsidR="007D2FB1" w:rsidRPr="00C34FA4" w:rsidRDefault="00063B31" w:rsidP="00C34FA4">
      <w:pPr>
        <w:pStyle w:val="FootnoteText"/>
        <w:ind w:left="720" w:hanging="720"/>
        <w:rPr>
          <w:rFonts w:cstheme="minorHAnsi"/>
        </w:rPr>
      </w:pPr>
      <w:r w:rsidRPr="00C34FA4">
        <w:rPr>
          <w:rStyle w:val="FootnoteReference"/>
          <w:rFonts w:cstheme="minorHAnsi"/>
        </w:rPr>
        <w:footnoteRef/>
      </w:r>
      <w:r w:rsidRPr="00C34FA4">
        <w:rPr>
          <w:rFonts w:cstheme="minorHAnsi"/>
        </w:rPr>
        <w:t xml:space="preserve"> </w:t>
      </w:r>
      <w:r w:rsidR="007D2FB1" w:rsidRPr="00C34FA4">
        <w:rPr>
          <w:rFonts w:cstheme="minorHAnsi"/>
        </w:rPr>
        <w:t xml:space="preserve">Harney, K. R. (2018, May 23). Large numbers of loan applications get denied. But for blacks, Hispanics and Asians, the rejection rate is even higher. The Washington Post. </w:t>
      </w:r>
      <w:hyperlink r:id="rId3" w:history="1">
        <w:r w:rsidR="00AC2405" w:rsidRPr="00C34FA4">
          <w:rPr>
            <w:rStyle w:val="Hyperlink"/>
            <w:rFonts w:cstheme="minorHAnsi"/>
          </w:rPr>
          <w:t>https://www.washingtonpost.com/realestate/large-numbers-of-loan-applications-get-denied-but-for-blacks-hispanics-and-asians-the-rejection-rate-is-even-higher/2018/05/22/dac19ffc-5d1b-11e8-9ee3-49d6d4814c4c_story.html</w:t>
        </w:r>
      </w:hyperlink>
      <w:r w:rsidR="00AC2405" w:rsidRPr="00C34FA4">
        <w:rPr>
          <w:rFonts w:cstheme="minorHAnsi"/>
        </w:rPr>
        <w:t xml:space="preserve"> </w:t>
      </w:r>
    </w:p>
  </w:footnote>
  <w:footnote w:id="5">
    <w:p w14:paraId="3AA86B22" w14:textId="188EDF67" w:rsidR="00DF5FE1" w:rsidRPr="00DF5FE1" w:rsidRDefault="00DF5FE1" w:rsidP="00DF5FE1">
      <w:pPr>
        <w:rPr>
          <w:rFonts w:asciiTheme="minorHAnsi" w:hAnsiTheme="minorHAnsi" w:cstheme="minorHAnsi"/>
          <w:sz w:val="20"/>
          <w:szCs w:val="20"/>
        </w:rPr>
      </w:pPr>
      <w:r w:rsidRPr="00DF5FE1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DF5FE1">
        <w:rPr>
          <w:rFonts w:asciiTheme="minorHAnsi" w:hAnsiTheme="minorHAnsi" w:cstheme="minorHAnsi"/>
          <w:sz w:val="20"/>
          <w:szCs w:val="20"/>
        </w:rPr>
        <w:t xml:space="preserve"> Habitat for Humanity. (2020). </w:t>
      </w:r>
      <w:r w:rsidRPr="00DF5FE1">
        <w:rPr>
          <w:rFonts w:asciiTheme="minorHAnsi" w:hAnsiTheme="minorHAnsi" w:cstheme="minorHAnsi"/>
          <w:i/>
          <w:iCs/>
          <w:sz w:val="20"/>
          <w:szCs w:val="20"/>
        </w:rPr>
        <w:t>How does homeownership contribute to wealth building?</w:t>
      </w:r>
      <w:r w:rsidRPr="00DF5FE1">
        <w:rPr>
          <w:rFonts w:asciiTheme="minorHAnsi" w:hAnsiTheme="minorHAnsi" w:cstheme="minorHAnsi"/>
          <w:sz w:val="20"/>
          <w:szCs w:val="20"/>
        </w:rPr>
        <w:t> Habitat for Humanity.</w:t>
      </w:r>
    </w:p>
  </w:footnote>
  <w:footnote w:id="6">
    <w:p w14:paraId="547C7B08" w14:textId="455F1140" w:rsidR="005E704E" w:rsidRPr="007C0591" w:rsidRDefault="005E704E" w:rsidP="00C34FA4">
      <w:pPr>
        <w:ind w:left="720" w:hanging="720"/>
        <w:rPr>
          <w:rFonts w:asciiTheme="minorHAnsi" w:hAnsiTheme="minorHAnsi" w:cstheme="minorHAnsi"/>
          <w:sz w:val="20"/>
          <w:szCs w:val="20"/>
        </w:rPr>
      </w:pPr>
      <w:r w:rsidRPr="007C0591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7C0591">
        <w:rPr>
          <w:rFonts w:asciiTheme="minorHAnsi" w:hAnsiTheme="minorHAnsi" w:cstheme="minorHAnsi"/>
          <w:sz w:val="20"/>
          <w:szCs w:val="20"/>
        </w:rPr>
        <w:t xml:space="preserve"> Federal Reserve. (n.d.). Home Mortgage Disclosure Act Examination Procedures. In </w:t>
      </w:r>
      <w:r w:rsidRPr="007C0591">
        <w:rPr>
          <w:rFonts w:asciiTheme="minorHAnsi" w:hAnsiTheme="minorHAnsi" w:cstheme="minorHAnsi"/>
          <w:i/>
          <w:iCs/>
          <w:sz w:val="20"/>
          <w:szCs w:val="20"/>
        </w:rPr>
        <w:t>Board of Governors of the Federal Reserve System</w:t>
      </w:r>
      <w:r w:rsidRPr="007C0591">
        <w:rPr>
          <w:rFonts w:asciiTheme="minorHAnsi" w:hAnsiTheme="minorHAnsi" w:cstheme="minorHAnsi"/>
          <w:sz w:val="20"/>
          <w:szCs w:val="20"/>
        </w:rPr>
        <w:t xml:space="preserve">. Retrieved September 29, 2021, from </w:t>
      </w:r>
      <w:hyperlink r:id="rId4" w:history="1">
        <w:r w:rsidR="00AC2405" w:rsidRPr="00F7766F">
          <w:rPr>
            <w:rStyle w:val="Hyperlink"/>
            <w:rFonts w:asciiTheme="minorHAnsi" w:hAnsiTheme="minorHAnsi" w:cstheme="minorHAnsi"/>
            <w:sz w:val="20"/>
            <w:szCs w:val="20"/>
          </w:rPr>
          <w:t>https://www.federalreserve.gov/boarddocs/caletters/2009/0910/09-10_attachment.pdf</w:t>
        </w:r>
      </w:hyperlink>
      <w:r w:rsidR="00AC2405">
        <w:rPr>
          <w:rFonts w:asciiTheme="minorHAnsi" w:hAnsiTheme="minorHAnsi" w:cstheme="minorHAnsi"/>
          <w:sz w:val="20"/>
          <w:szCs w:val="20"/>
        </w:rPr>
        <w:t xml:space="preserve"> </w:t>
      </w:r>
    </w:p>
  </w:footnote>
  <w:footnote w:id="7">
    <w:p w14:paraId="3DC0D68E" w14:textId="002EF3A5" w:rsidR="00921EC6" w:rsidRPr="00DF5FE1" w:rsidRDefault="00426C33" w:rsidP="00C34FA4">
      <w:pPr>
        <w:pStyle w:val="FootnoteText"/>
        <w:ind w:left="720" w:hanging="720"/>
        <w:rPr>
          <w:rFonts w:cstheme="minorHAnsi"/>
        </w:rPr>
      </w:pPr>
      <w:r w:rsidRPr="00DF5FE1">
        <w:rPr>
          <w:rStyle w:val="FootnoteReference"/>
          <w:rFonts w:cstheme="minorHAnsi"/>
        </w:rPr>
        <w:footnoteRef/>
      </w:r>
      <w:r w:rsidRPr="00DF5FE1">
        <w:rPr>
          <w:rFonts w:cstheme="minorHAnsi"/>
        </w:rPr>
        <w:t xml:space="preserve"> </w:t>
      </w:r>
      <w:r w:rsidR="00921EC6" w:rsidRPr="00DF5FE1">
        <w:rPr>
          <w:rFonts w:cstheme="minorHAnsi"/>
        </w:rPr>
        <w:t>Goodman, L., &amp; Bai, B. (2018, August 23). </w:t>
      </w:r>
      <w:r w:rsidR="00921EC6" w:rsidRPr="00DF5FE1">
        <w:rPr>
          <w:rFonts w:cstheme="minorHAnsi"/>
          <w:i/>
          <w:iCs/>
        </w:rPr>
        <w:t>Traditional mortgage denial metrics may misrepresent racial and ethnic discrimination.</w:t>
      </w:r>
      <w:r w:rsidR="00921EC6" w:rsidRPr="00DF5FE1">
        <w:rPr>
          <w:rFonts w:cstheme="minorHAnsi"/>
        </w:rPr>
        <w:t xml:space="preserve"> Urban Institute. </w:t>
      </w:r>
      <w:hyperlink r:id="rId5" w:history="1">
        <w:r w:rsidR="00AC2405" w:rsidRPr="00F7766F">
          <w:rPr>
            <w:rStyle w:val="Hyperlink"/>
            <w:rFonts w:cstheme="minorHAnsi"/>
          </w:rPr>
          <w:t>https://www.urban.org/urban-wire/traditional-mortgage-denial-metrics-may-misrepresent-racial-and-ethnic-discrimination</w:t>
        </w:r>
      </w:hyperlink>
      <w:r w:rsidR="00AC2405">
        <w:rPr>
          <w:rFonts w:cstheme="minorHAnsi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68E"/>
    <w:multiLevelType w:val="hybridMultilevel"/>
    <w:tmpl w:val="68B2E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24ACB"/>
    <w:multiLevelType w:val="hybridMultilevel"/>
    <w:tmpl w:val="418AB8B4"/>
    <w:lvl w:ilvl="0" w:tplc="47060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F8F7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D0E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CCD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726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FE7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78D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F87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865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A49E0"/>
    <w:multiLevelType w:val="hybridMultilevel"/>
    <w:tmpl w:val="A4389690"/>
    <w:lvl w:ilvl="0" w:tplc="8166A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B483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8A3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C2D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B87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EA9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9A9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F2E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50C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6A37A42"/>
    <w:multiLevelType w:val="hybridMultilevel"/>
    <w:tmpl w:val="BD5646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55069"/>
    <w:multiLevelType w:val="hybridMultilevel"/>
    <w:tmpl w:val="D38ACE16"/>
    <w:lvl w:ilvl="0" w:tplc="57109C4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92535"/>
    <w:multiLevelType w:val="hybridMultilevel"/>
    <w:tmpl w:val="EDE2AA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E0008B"/>
    <w:multiLevelType w:val="hybridMultilevel"/>
    <w:tmpl w:val="FE3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862556"/>
    <w:multiLevelType w:val="hybridMultilevel"/>
    <w:tmpl w:val="331ADF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C04E9"/>
    <w:multiLevelType w:val="hybridMultilevel"/>
    <w:tmpl w:val="38F6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3"/>
  </w:num>
  <w:num w:numId="4">
    <w:abstractNumId w:val="16"/>
  </w:num>
  <w:num w:numId="5">
    <w:abstractNumId w:val="12"/>
  </w:num>
  <w:num w:numId="6">
    <w:abstractNumId w:val="2"/>
  </w:num>
  <w:num w:numId="7">
    <w:abstractNumId w:val="17"/>
  </w:num>
  <w:num w:numId="8">
    <w:abstractNumId w:val="3"/>
  </w:num>
  <w:num w:numId="9">
    <w:abstractNumId w:val="21"/>
  </w:num>
  <w:num w:numId="10">
    <w:abstractNumId w:val="8"/>
  </w:num>
  <w:num w:numId="11">
    <w:abstractNumId w:val="22"/>
  </w:num>
  <w:num w:numId="12">
    <w:abstractNumId w:val="6"/>
  </w:num>
  <w:num w:numId="13">
    <w:abstractNumId w:val="20"/>
  </w:num>
  <w:num w:numId="14">
    <w:abstractNumId w:val="11"/>
  </w:num>
  <w:num w:numId="15">
    <w:abstractNumId w:val="14"/>
  </w:num>
  <w:num w:numId="16">
    <w:abstractNumId w:val="7"/>
  </w:num>
  <w:num w:numId="17">
    <w:abstractNumId w:val="19"/>
  </w:num>
  <w:num w:numId="18">
    <w:abstractNumId w:val="10"/>
  </w:num>
  <w:num w:numId="19">
    <w:abstractNumId w:val="15"/>
  </w:num>
  <w:num w:numId="20">
    <w:abstractNumId w:val="4"/>
  </w:num>
  <w:num w:numId="21">
    <w:abstractNumId w:val="1"/>
  </w:num>
  <w:num w:numId="22">
    <w:abstractNumId w:val="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5E13"/>
    <w:rsid w:val="00010A16"/>
    <w:rsid w:val="00032B5D"/>
    <w:rsid w:val="0004246F"/>
    <w:rsid w:val="00050C45"/>
    <w:rsid w:val="0006383D"/>
    <w:rsid w:val="00063B31"/>
    <w:rsid w:val="000672BC"/>
    <w:rsid w:val="00071599"/>
    <w:rsid w:val="000775F8"/>
    <w:rsid w:val="00081CBE"/>
    <w:rsid w:val="00082B14"/>
    <w:rsid w:val="00082C3D"/>
    <w:rsid w:val="0008657A"/>
    <w:rsid w:val="000905B5"/>
    <w:rsid w:val="00090D65"/>
    <w:rsid w:val="00090F2D"/>
    <w:rsid w:val="000928E1"/>
    <w:rsid w:val="00094CB7"/>
    <w:rsid w:val="000B0048"/>
    <w:rsid w:val="000B02E6"/>
    <w:rsid w:val="000B2D9B"/>
    <w:rsid w:val="000B62A5"/>
    <w:rsid w:val="000D5C93"/>
    <w:rsid w:val="000F2278"/>
    <w:rsid w:val="00106957"/>
    <w:rsid w:val="00115761"/>
    <w:rsid w:val="00131389"/>
    <w:rsid w:val="001378A9"/>
    <w:rsid w:val="00143CCB"/>
    <w:rsid w:val="00144D3F"/>
    <w:rsid w:val="0015197F"/>
    <w:rsid w:val="00151DA9"/>
    <w:rsid w:val="001547DA"/>
    <w:rsid w:val="00157650"/>
    <w:rsid w:val="0016058D"/>
    <w:rsid w:val="00180268"/>
    <w:rsid w:val="001806AD"/>
    <w:rsid w:val="00181F4B"/>
    <w:rsid w:val="00187AFD"/>
    <w:rsid w:val="00190959"/>
    <w:rsid w:val="00195C30"/>
    <w:rsid w:val="00195C6D"/>
    <w:rsid w:val="00196195"/>
    <w:rsid w:val="00196AD4"/>
    <w:rsid w:val="001A397B"/>
    <w:rsid w:val="001B437D"/>
    <w:rsid w:val="001B5F77"/>
    <w:rsid w:val="001B6722"/>
    <w:rsid w:val="001C079B"/>
    <w:rsid w:val="001C7A7D"/>
    <w:rsid w:val="001D3212"/>
    <w:rsid w:val="001D48D1"/>
    <w:rsid w:val="001E0872"/>
    <w:rsid w:val="002032DC"/>
    <w:rsid w:val="00204CE0"/>
    <w:rsid w:val="0021006C"/>
    <w:rsid w:val="00210F7B"/>
    <w:rsid w:val="0021322C"/>
    <w:rsid w:val="0021710C"/>
    <w:rsid w:val="002212F1"/>
    <w:rsid w:val="002278C8"/>
    <w:rsid w:val="002309B7"/>
    <w:rsid w:val="00247C44"/>
    <w:rsid w:val="002552A6"/>
    <w:rsid w:val="002649BE"/>
    <w:rsid w:val="00270F6B"/>
    <w:rsid w:val="00282585"/>
    <w:rsid w:val="002B6309"/>
    <w:rsid w:val="002B6F8E"/>
    <w:rsid w:val="002C7E48"/>
    <w:rsid w:val="002D31E1"/>
    <w:rsid w:val="002E5C01"/>
    <w:rsid w:val="002E5D07"/>
    <w:rsid w:val="002F4799"/>
    <w:rsid w:val="002F6EDE"/>
    <w:rsid w:val="00302737"/>
    <w:rsid w:val="00304B49"/>
    <w:rsid w:val="0031008D"/>
    <w:rsid w:val="00311838"/>
    <w:rsid w:val="003134A5"/>
    <w:rsid w:val="00313870"/>
    <w:rsid w:val="00316382"/>
    <w:rsid w:val="003208B8"/>
    <w:rsid w:val="00323367"/>
    <w:rsid w:val="0032516F"/>
    <w:rsid w:val="00326F71"/>
    <w:rsid w:val="00347C60"/>
    <w:rsid w:val="00347DA1"/>
    <w:rsid w:val="00352201"/>
    <w:rsid w:val="003628E7"/>
    <w:rsid w:val="003700FD"/>
    <w:rsid w:val="00373590"/>
    <w:rsid w:val="003877AA"/>
    <w:rsid w:val="00394437"/>
    <w:rsid w:val="00395DD5"/>
    <w:rsid w:val="003A178B"/>
    <w:rsid w:val="003A2AA6"/>
    <w:rsid w:val="003A32F0"/>
    <w:rsid w:val="003A51DA"/>
    <w:rsid w:val="003B3401"/>
    <w:rsid w:val="003C2BF4"/>
    <w:rsid w:val="003C3CDB"/>
    <w:rsid w:val="003C7FF1"/>
    <w:rsid w:val="003D1192"/>
    <w:rsid w:val="003E0F76"/>
    <w:rsid w:val="003E542E"/>
    <w:rsid w:val="003E669F"/>
    <w:rsid w:val="003E7519"/>
    <w:rsid w:val="003F2809"/>
    <w:rsid w:val="003F2F48"/>
    <w:rsid w:val="003F44AA"/>
    <w:rsid w:val="003F50AD"/>
    <w:rsid w:val="00400448"/>
    <w:rsid w:val="00400CCF"/>
    <w:rsid w:val="00401CAF"/>
    <w:rsid w:val="00412D30"/>
    <w:rsid w:val="0042559F"/>
    <w:rsid w:val="00426C33"/>
    <w:rsid w:val="00431CE6"/>
    <w:rsid w:val="00431D55"/>
    <w:rsid w:val="00433CEA"/>
    <w:rsid w:val="0043612D"/>
    <w:rsid w:val="004504C8"/>
    <w:rsid w:val="004559BB"/>
    <w:rsid w:val="00475C0E"/>
    <w:rsid w:val="0049526B"/>
    <w:rsid w:val="0049668D"/>
    <w:rsid w:val="004A5108"/>
    <w:rsid w:val="004A7D20"/>
    <w:rsid w:val="004B3573"/>
    <w:rsid w:val="004B5953"/>
    <w:rsid w:val="004B759B"/>
    <w:rsid w:val="004C1E94"/>
    <w:rsid w:val="004D63FB"/>
    <w:rsid w:val="004D7AC8"/>
    <w:rsid w:val="004E409A"/>
    <w:rsid w:val="00500A0A"/>
    <w:rsid w:val="00505219"/>
    <w:rsid w:val="00512E6E"/>
    <w:rsid w:val="0051687D"/>
    <w:rsid w:val="00523739"/>
    <w:rsid w:val="005329CA"/>
    <w:rsid w:val="00540396"/>
    <w:rsid w:val="00541485"/>
    <w:rsid w:val="005429A8"/>
    <w:rsid w:val="00546906"/>
    <w:rsid w:val="00547A78"/>
    <w:rsid w:val="00550602"/>
    <w:rsid w:val="00556CAE"/>
    <w:rsid w:val="00557A6F"/>
    <w:rsid w:val="00562472"/>
    <w:rsid w:val="00565171"/>
    <w:rsid w:val="00574BBC"/>
    <w:rsid w:val="0057602D"/>
    <w:rsid w:val="00580568"/>
    <w:rsid w:val="00582C74"/>
    <w:rsid w:val="00590D48"/>
    <w:rsid w:val="005B685F"/>
    <w:rsid w:val="005C325B"/>
    <w:rsid w:val="005D1713"/>
    <w:rsid w:val="005D31A8"/>
    <w:rsid w:val="005D78CB"/>
    <w:rsid w:val="005E704E"/>
    <w:rsid w:val="005E7688"/>
    <w:rsid w:val="005F0BAB"/>
    <w:rsid w:val="005F3320"/>
    <w:rsid w:val="005F6821"/>
    <w:rsid w:val="005F77F1"/>
    <w:rsid w:val="00601594"/>
    <w:rsid w:val="00612FB1"/>
    <w:rsid w:val="00621422"/>
    <w:rsid w:val="006230FC"/>
    <w:rsid w:val="00632A42"/>
    <w:rsid w:val="006411AF"/>
    <w:rsid w:val="00660E1B"/>
    <w:rsid w:val="0066371C"/>
    <w:rsid w:val="00674788"/>
    <w:rsid w:val="00694C94"/>
    <w:rsid w:val="00694D1F"/>
    <w:rsid w:val="00696EFA"/>
    <w:rsid w:val="006B06E3"/>
    <w:rsid w:val="006B19EB"/>
    <w:rsid w:val="006B3341"/>
    <w:rsid w:val="006B75AA"/>
    <w:rsid w:val="006D11BB"/>
    <w:rsid w:val="006E19F6"/>
    <w:rsid w:val="006E7B04"/>
    <w:rsid w:val="006F4F65"/>
    <w:rsid w:val="006F6463"/>
    <w:rsid w:val="0070276E"/>
    <w:rsid w:val="00717E59"/>
    <w:rsid w:val="00725EEC"/>
    <w:rsid w:val="007269C0"/>
    <w:rsid w:val="00746735"/>
    <w:rsid w:val="00751F50"/>
    <w:rsid w:val="00760E60"/>
    <w:rsid w:val="00763357"/>
    <w:rsid w:val="00764D60"/>
    <w:rsid w:val="00767646"/>
    <w:rsid w:val="007716C9"/>
    <w:rsid w:val="00774EC9"/>
    <w:rsid w:val="007A0974"/>
    <w:rsid w:val="007A27EE"/>
    <w:rsid w:val="007C0591"/>
    <w:rsid w:val="007C5A29"/>
    <w:rsid w:val="007D09A4"/>
    <w:rsid w:val="007D2FB1"/>
    <w:rsid w:val="007D732D"/>
    <w:rsid w:val="007E2B8C"/>
    <w:rsid w:val="007E3A79"/>
    <w:rsid w:val="007F0528"/>
    <w:rsid w:val="007F470D"/>
    <w:rsid w:val="007F76A9"/>
    <w:rsid w:val="007F7FA7"/>
    <w:rsid w:val="00807CE9"/>
    <w:rsid w:val="00807DBC"/>
    <w:rsid w:val="0081035A"/>
    <w:rsid w:val="00817FA6"/>
    <w:rsid w:val="008277ED"/>
    <w:rsid w:val="00834819"/>
    <w:rsid w:val="0083514B"/>
    <w:rsid w:val="00841342"/>
    <w:rsid w:val="00841D17"/>
    <w:rsid w:val="008435F0"/>
    <w:rsid w:val="00851AD0"/>
    <w:rsid w:val="008561D0"/>
    <w:rsid w:val="00860FD7"/>
    <w:rsid w:val="00864172"/>
    <w:rsid w:val="0087007A"/>
    <w:rsid w:val="00870F26"/>
    <w:rsid w:val="008716A5"/>
    <w:rsid w:val="008725FC"/>
    <w:rsid w:val="00873BE5"/>
    <w:rsid w:val="008962F1"/>
    <w:rsid w:val="008B110E"/>
    <w:rsid w:val="008B6236"/>
    <w:rsid w:val="008B64E5"/>
    <w:rsid w:val="008C1389"/>
    <w:rsid w:val="008D4C71"/>
    <w:rsid w:val="008D7DE3"/>
    <w:rsid w:val="008E6E54"/>
    <w:rsid w:val="008F30F0"/>
    <w:rsid w:val="009014F7"/>
    <w:rsid w:val="00903FE2"/>
    <w:rsid w:val="00907FEE"/>
    <w:rsid w:val="009116B3"/>
    <w:rsid w:val="009144DA"/>
    <w:rsid w:val="00921EC6"/>
    <w:rsid w:val="009245F3"/>
    <w:rsid w:val="00925743"/>
    <w:rsid w:val="00930000"/>
    <w:rsid w:val="00936734"/>
    <w:rsid w:val="009372D5"/>
    <w:rsid w:val="009373AD"/>
    <w:rsid w:val="00945C7E"/>
    <w:rsid w:val="0097042E"/>
    <w:rsid w:val="0097051A"/>
    <w:rsid w:val="00972A76"/>
    <w:rsid w:val="009831B6"/>
    <w:rsid w:val="0098613A"/>
    <w:rsid w:val="009A3108"/>
    <w:rsid w:val="009A7614"/>
    <w:rsid w:val="009B059E"/>
    <w:rsid w:val="009B3848"/>
    <w:rsid w:val="009B5A4F"/>
    <w:rsid w:val="009D00B4"/>
    <w:rsid w:val="009D03DB"/>
    <w:rsid w:val="009D1CE0"/>
    <w:rsid w:val="009D77E3"/>
    <w:rsid w:val="009E36B9"/>
    <w:rsid w:val="009E56D4"/>
    <w:rsid w:val="009F4E00"/>
    <w:rsid w:val="00A034C7"/>
    <w:rsid w:val="00A1534E"/>
    <w:rsid w:val="00A16408"/>
    <w:rsid w:val="00A16D12"/>
    <w:rsid w:val="00A24E9A"/>
    <w:rsid w:val="00A24F78"/>
    <w:rsid w:val="00A250D5"/>
    <w:rsid w:val="00A31860"/>
    <w:rsid w:val="00A34BBA"/>
    <w:rsid w:val="00A3649D"/>
    <w:rsid w:val="00A37570"/>
    <w:rsid w:val="00A43A67"/>
    <w:rsid w:val="00A45DA7"/>
    <w:rsid w:val="00A51B94"/>
    <w:rsid w:val="00A60E63"/>
    <w:rsid w:val="00A622FB"/>
    <w:rsid w:val="00A64143"/>
    <w:rsid w:val="00A65B92"/>
    <w:rsid w:val="00A70595"/>
    <w:rsid w:val="00A71B9C"/>
    <w:rsid w:val="00A73104"/>
    <w:rsid w:val="00A75AB7"/>
    <w:rsid w:val="00A76AAC"/>
    <w:rsid w:val="00A85E6C"/>
    <w:rsid w:val="00A90948"/>
    <w:rsid w:val="00A91620"/>
    <w:rsid w:val="00A96381"/>
    <w:rsid w:val="00A97249"/>
    <w:rsid w:val="00AA30DA"/>
    <w:rsid w:val="00AA5AB9"/>
    <w:rsid w:val="00AA5D35"/>
    <w:rsid w:val="00AA68E8"/>
    <w:rsid w:val="00AB4398"/>
    <w:rsid w:val="00AB5702"/>
    <w:rsid w:val="00AC2405"/>
    <w:rsid w:val="00AC3DA4"/>
    <w:rsid w:val="00AD2D45"/>
    <w:rsid w:val="00AE0260"/>
    <w:rsid w:val="00AE06B9"/>
    <w:rsid w:val="00AE261C"/>
    <w:rsid w:val="00AF01CB"/>
    <w:rsid w:val="00AF41DA"/>
    <w:rsid w:val="00B030D2"/>
    <w:rsid w:val="00B06628"/>
    <w:rsid w:val="00B06E73"/>
    <w:rsid w:val="00B105B2"/>
    <w:rsid w:val="00B17AD5"/>
    <w:rsid w:val="00B21683"/>
    <w:rsid w:val="00B23492"/>
    <w:rsid w:val="00B33C15"/>
    <w:rsid w:val="00B354FA"/>
    <w:rsid w:val="00B42074"/>
    <w:rsid w:val="00B46692"/>
    <w:rsid w:val="00B4758F"/>
    <w:rsid w:val="00B52D4C"/>
    <w:rsid w:val="00B55B6C"/>
    <w:rsid w:val="00B61658"/>
    <w:rsid w:val="00B672AA"/>
    <w:rsid w:val="00B67A16"/>
    <w:rsid w:val="00B70EF2"/>
    <w:rsid w:val="00B7323D"/>
    <w:rsid w:val="00B767FD"/>
    <w:rsid w:val="00B77980"/>
    <w:rsid w:val="00B83330"/>
    <w:rsid w:val="00B9227E"/>
    <w:rsid w:val="00B93EF2"/>
    <w:rsid w:val="00B96B30"/>
    <w:rsid w:val="00BA13CF"/>
    <w:rsid w:val="00BA145A"/>
    <w:rsid w:val="00BB37B4"/>
    <w:rsid w:val="00BB551D"/>
    <w:rsid w:val="00BC2700"/>
    <w:rsid w:val="00BC4FCB"/>
    <w:rsid w:val="00BC6544"/>
    <w:rsid w:val="00BD39E4"/>
    <w:rsid w:val="00BE20A4"/>
    <w:rsid w:val="00BF135F"/>
    <w:rsid w:val="00C236A3"/>
    <w:rsid w:val="00C27D4A"/>
    <w:rsid w:val="00C32B63"/>
    <w:rsid w:val="00C32CFB"/>
    <w:rsid w:val="00C34FA4"/>
    <w:rsid w:val="00C3510F"/>
    <w:rsid w:val="00C549CB"/>
    <w:rsid w:val="00C63158"/>
    <w:rsid w:val="00C653B9"/>
    <w:rsid w:val="00C660C4"/>
    <w:rsid w:val="00C674A9"/>
    <w:rsid w:val="00C7248A"/>
    <w:rsid w:val="00C755D7"/>
    <w:rsid w:val="00C8203C"/>
    <w:rsid w:val="00C8369F"/>
    <w:rsid w:val="00C87B88"/>
    <w:rsid w:val="00C927BE"/>
    <w:rsid w:val="00C95E01"/>
    <w:rsid w:val="00CA1229"/>
    <w:rsid w:val="00CA2951"/>
    <w:rsid w:val="00CB0A83"/>
    <w:rsid w:val="00CC041F"/>
    <w:rsid w:val="00CC6068"/>
    <w:rsid w:val="00CC6FD7"/>
    <w:rsid w:val="00CD35FD"/>
    <w:rsid w:val="00CD433F"/>
    <w:rsid w:val="00CD7572"/>
    <w:rsid w:val="00CE1BB6"/>
    <w:rsid w:val="00CE2311"/>
    <w:rsid w:val="00CE4FE4"/>
    <w:rsid w:val="00CF3CCE"/>
    <w:rsid w:val="00D0072C"/>
    <w:rsid w:val="00D054EC"/>
    <w:rsid w:val="00D05637"/>
    <w:rsid w:val="00D07D4C"/>
    <w:rsid w:val="00D119D2"/>
    <w:rsid w:val="00D2364A"/>
    <w:rsid w:val="00D268F7"/>
    <w:rsid w:val="00D27E5C"/>
    <w:rsid w:val="00D30D1A"/>
    <w:rsid w:val="00D34879"/>
    <w:rsid w:val="00D44CAC"/>
    <w:rsid w:val="00D46A9E"/>
    <w:rsid w:val="00D73519"/>
    <w:rsid w:val="00D73B5B"/>
    <w:rsid w:val="00D85C3D"/>
    <w:rsid w:val="00D90932"/>
    <w:rsid w:val="00D9102D"/>
    <w:rsid w:val="00D91112"/>
    <w:rsid w:val="00DA16C3"/>
    <w:rsid w:val="00DA2702"/>
    <w:rsid w:val="00DA6001"/>
    <w:rsid w:val="00DB2003"/>
    <w:rsid w:val="00DB5C3A"/>
    <w:rsid w:val="00DC3C60"/>
    <w:rsid w:val="00DC487E"/>
    <w:rsid w:val="00DC610A"/>
    <w:rsid w:val="00DC707B"/>
    <w:rsid w:val="00DC7598"/>
    <w:rsid w:val="00DE1DDA"/>
    <w:rsid w:val="00DE230E"/>
    <w:rsid w:val="00DF0361"/>
    <w:rsid w:val="00DF1559"/>
    <w:rsid w:val="00DF1B70"/>
    <w:rsid w:val="00DF2021"/>
    <w:rsid w:val="00DF5FE1"/>
    <w:rsid w:val="00DF75E2"/>
    <w:rsid w:val="00E042A0"/>
    <w:rsid w:val="00E21A26"/>
    <w:rsid w:val="00E22BD6"/>
    <w:rsid w:val="00E25B4C"/>
    <w:rsid w:val="00E327BE"/>
    <w:rsid w:val="00E34396"/>
    <w:rsid w:val="00E3464C"/>
    <w:rsid w:val="00E37D04"/>
    <w:rsid w:val="00E44313"/>
    <w:rsid w:val="00E45575"/>
    <w:rsid w:val="00E61745"/>
    <w:rsid w:val="00E652C2"/>
    <w:rsid w:val="00E675E3"/>
    <w:rsid w:val="00E7035E"/>
    <w:rsid w:val="00E70D5B"/>
    <w:rsid w:val="00E73B14"/>
    <w:rsid w:val="00E775B6"/>
    <w:rsid w:val="00E856DB"/>
    <w:rsid w:val="00EA3FE4"/>
    <w:rsid w:val="00EC283E"/>
    <w:rsid w:val="00EC4349"/>
    <w:rsid w:val="00EC670E"/>
    <w:rsid w:val="00ED5DD3"/>
    <w:rsid w:val="00ED6351"/>
    <w:rsid w:val="00EE5730"/>
    <w:rsid w:val="00EE6FFB"/>
    <w:rsid w:val="00F16EDF"/>
    <w:rsid w:val="00F2637A"/>
    <w:rsid w:val="00F267DA"/>
    <w:rsid w:val="00F35F6D"/>
    <w:rsid w:val="00F37A03"/>
    <w:rsid w:val="00F4177B"/>
    <w:rsid w:val="00F42D72"/>
    <w:rsid w:val="00F43C8F"/>
    <w:rsid w:val="00F53362"/>
    <w:rsid w:val="00F630D9"/>
    <w:rsid w:val="00F70375"/>
    <w:rsid w:val="00F725D1"/>
    <w:rsid w:val="00F75C01"/>
    <w:rsid w:val="00F8197B"/>
    <w:rsid w:val="00F90ED8"/>
    <w:rsid w:val="00F91D5C"/>
    <w:rsid w:val="00F94A4F"/>
    <w:rsid w:val="00F963DA"/>
    <w:rsid w:val="00FA1118"/>
    <w:rsid w:val="00FA29F2"/>
    <w:rsid w:val="00FA2DEE"/>
    <w:rsid w:val="00FA2ED2"/>
    <w:rsid w:val="00FA489C"/>
    <w:rsid w:val="00FA5E00"/>
    <w:rsid w:val="00FB05D3"/>
    <w:rsid w:val="00FB5343"/>
    <w:rsid w:val="00FB68C6"/>
    <w:rsid w:val="00FC1111"/>
    <w:rsid w:val="00FC4879"/>
    <w:rsid w:val="00FD26B5"/>
    <w:rsid w:val="00FD45B2"/>
    <w:rsid w:val="00FE2247"/>
    <w:rsid w:val="00FF2545"/>
    <w:rsid w:val="00FF2D1E"/>
    <w:rsid w:val="00FF69A2"/>
    <w:rsid w:val="00FF7D96"/>
    <w:rsid w:val="06127288"/>
    <w:rsid w:val="11E806EB"/>
    <w:rsid w:val="18655C18"/>
    <w:rsid w:val="3453D630"/>
    <w:rsid w:val="349E1F9B"/>
    <w:rsid w:val="352A4BFB"/>
    <w:rsid w:val="4203FFF0"/>
    <w:rsid w:val="69C5A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docId w15:val="{AD9FA060-A1DD-468D-B648-E786E048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EC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C3D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621422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5E1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05E13"/>
  </w:style>
  <w:style w:type="paragraph" w:styleId="Footer">
    <w:name w:val="footer"/>
    <w:basedOn w:val="Normal"/>
    <w:link w:val="FooterChar"/>
    <w:uiPriority w:val="99"/>
    <w:semiHidden/>
    <w:unhideWhenUsed/>
    <w:rsid w:val="00005E1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119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054EC"/>
  </w:style>
  <w:style w:type="paragraph" w:styleId="Revision">
    <w:name w:val="Revision"/>
    <w:hidden/>
    <w:uiPriority w:val="99"/>
    <w:semiHidden/>
    <w:rsid w:val="00316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3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9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12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3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6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fiec.cfpb.gov/data-browser/data/2020?category=states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washingtonpost.com/realestate/large-numbers-of-loan-applications-get-denied-but-for-blacks-hispanics-and-asians-the-rejection-rate-is-even-higher/2018/05/22/dac19ffc-5d1b-11e8-9ee3-49d6d4814c4c_story.html" TargetMode="External"/><Relationship Id="rId2" Type="http://schemas.openxmlformats.org/officeDocument/2006/relationships/hyperlink" Target="https://doi.org/10.1016/j.ssmph.2021.100793" TargetMode="External"/><Relationship Id="rId1" Type="http://schemas.openxmlformats.org/officeDocument/2006/relationships/hyperlink" Target="https://www.americanprogress.org/issues/race/reports/2018/02/21/447051/systematic-inequality/" TargetMode="External"/><Relationship Id="rId5" Type="http://schemas.openxmlformats.org/officeDocument/2006/relationships/hyperlink" Target="https://www.urban.org/urban-wire/traditional-mortgage-denial-metrics-may-misrepresent-racial-and-ethnic-discrimination" TargetMode="External"/><Relationship Id="rId4" Type="http://schemas.openxmlformats.org/officeDocument/2006/relationships/hyperlink" Target="https://www.federalreserve.gov/boarddocs/caletters/2009/0910/09-10_attachmen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244</cp:revision>
  <dcterms:created xsi:type="dcterms:W3CDTF">2021-09-20T07:58:00Z</dcterms:created>
  <dcterms:modified xsi:type="dcterms:W3CDTF">2021-11-15T19:06:00Z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