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9930713" w:rsidR="002B6F8E" w:rsidRDefault="002B6F8E">
      <w:r w:rsidRPr="00AE261C">
        <w:rPr>
          <w:b/>
          <w:bCs/>
        </w:rPr>
        <w:t>Name</w:t>
      </w:r>
      <w:r w:rsidR="00D44CAC">
        <w:t>:</w:t>
      </w:r>
      <w:r w:rsidR="00743D2C">
        <w:t xml:space="preserve"> </w:t>
      </w:r>
      <w:r w:rsidR="00C15520">
        <w:t>Nursery and Preschool Enrollment</w:t>
      </w:r>
    </w:p>
    <w:p w14:paraId="0D41E867" w14:textId="77777777" w:rsidR="00AA5AB9" w:rsidRDefault="00AA5AB9"/>
    <w:p w14:paraId="100E41DE" w14:textId="2883472F" w:rsidR="00EC670E" w:rsidRPr="00AB50F2" w:rsidRDefault="002B6F8E">
      <w:r w:rsidRPr="25B5CD40">
        <w:rPr>
          <w:b/>
          <w:bCs/>
        </w:rPr>
        <w:t>Short Description</w:t>
      </w:r>
      <w:r w:rsidR="00D44CAC">
        <w:t>:</w:t>
      </w:r>
      <w:r w:rsidR="00F73221">
        <w:t xml:space="preserve"> </w:t>
      </w:r>
      <w:r w:rsidR="00AB50F2">
        <w:t xml:space="preserve">Percent of </w:t>
      </w:r>
      <w:r w:rsidR="00AC1DC2">
        <w:t xml:space="preserve">children </w:t>
      </w:r>
      <w:r w:rsidR="00AB50F2">
        <w:t>enrolled in nursery school</w:t>
      </w:r>
      <w:r w:rsidR="296B4AF4">
        <w:t xml:space="preserve"> or</w:t>
      </w:r>
      <w:r w:rsidR="001D62A1">
        <w:t xml:space="preserve"> </w:t>
      </w:r>
      <w:r w:rsidR="00AB50F2">
        <w:t>pre-school</w:t>
      </w:r>
      <w:r w:rsidR="3CBEF870">
        <w:t>.</w:t>
      </w:r>
    </w:p>
    <w:p w14:paraId="285F7F9C" w14:textId="72AF4EE6" w:rsidR="002B6F8E" w:rsidRDefault="002B6F8E"/>
    <w:p w14:paraId="4A72B57B" w14:textId="7AC39D9D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01CD149B" w14:textId="2C6A1DE6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461E21">
        <w:t xml:space="preserve">United States Census Bureau, </w:t>
      </w:r>
      <w:r w:rsidR="00C260B4">
        <w:t>American Community Survey</w:t>
      </w:r>
      <w:r w:rsidR="00BF33A4">
        <w:t xml:space="preserve"> (ACS)</w:t>
      </w:r>
    </w:p>
    <w:p w14:paraId="7C3A5475" w14:textId="2244512B" w:rsidR="00433CEA" w:rsidRPr="00433CEA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0C5099" w:rsidRPr="005133A3">
          <w:rPr>
            <w:rStyle w:val="Hyperlink"/>
          </w:rPr>
          <w:t>https://www.census.gov/programs-surveys/acs/data.html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5FB5D5AE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</w:t>
      </w:r>
      <w:r w:rsidR="00E50AE2">
        <w:rPr>
          <w:b/>
          <w:bCs/>
        </w:rPr>
        <w:t>):</w:t>
      </w:r>
      <w:r w:rsidR="00E50AE2">
        <w:t xml:space="preserve"> </w:t>
      </w:r>
      <w:r w:rsidR="00461E21">
        <w:t>5-year estimates</w:t>
      </w:r>
      <w:r w:rsidR="001B5F77">
        <w:rPr>
          <w:b/>
          <w:bCs/>
        </w:rPr>
        <w:t xml:space="preserve"> </w:t>
      </w:r>
      <w:r w:rsidR="00461E21" w:rsidRPr="00315B13">
        <w:t>(</w:t>
      </w:r>
      <w:r w:rsidR="000C5099">
        <w:t>2015-2019</w:t>
      </w:r>
      <w:r w:rsidR="00461E21">
        <w:t>)</w:t>
      </w:r>
    </w:p>
    <w:p w14:paraId="169D6C46" w14:textId="2812697E" w:rsidR="002B6F8E" w:rsidRDefault="002B6F8E"/>
    <w:p w14:paraId="3A134C16" w14:textId="4EACCBBA" w:rsidR="00DA16C3" w:rsidRDefault="00B717D5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AD1C73">
        <w:t>Zip Code Tabulation Area (</w:t>
      </w:r>
      <w:r w:rsidR="00E03DBF">
        <w:t>ZCTA</w:t>
      </w:r>
      <w:r w:rsidR="00AD1C73">
        <w:t>)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092DBD89" w:rsidR="003D1192" w:rsidRPr="00F8197B" w:rsidRDefault="003D1192">
      <w:r>
        <w:rPr>
          <w:b/>
          <w:bCs/>
        </w:rPr>
        <w:t>Stratifi</w:t>
      </w:r>
      <w:r w:rsidR="00AD1C73">
        <w:rPr>
          <w:b/>
          <w:bCs/>
        </w:rPr>
        <w:t>cation</w:t>
      </w:r>
      <w:r w:rsidR="00F8197B">
        <w:t>:</w:t>
      </w:r>
      <w:r w:rsidR="00AD1C73">
        <w:t xml:space="preserve"> Black </w:t>
      </w:r>
      <w:r w:rsidR="00405635">
        <w:t>p</w:t>
      </w:r>
      <w:r w:rsidR="00B717D5">
        <w:t>opulation</w:t>
      </w:r>
    </w:p>
    <w:p w14:paraId="41EE929A" w14:textId="721E965A" w:rsidR="00302737" w:rsidRDefault="00302737" w:rsidP="00C232A0">
      <w:pPr>
        <w:pStyle w:val="ListParagraph"/>
      </w:pPr>
    </w:p>
    <w:p w14:paraId="74203DF7" w14:textId="4F4EA366" w:rsidR="00216B86" w:rsidRDefault="0070276E" w:rsidP="00216B86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216B86">
        <w:t>Early childhood education</w:t>
      </w:r>
      <w:r w:rsidR="003427DF">
        <w:t xml:space="preserve"> (ECE)</w:t>
      </w:r>
      <w:r w:rsidR="000F64EA">
        <w:t xml:space="preserve">, which includes nursery and preschool, </w:t>
      </w:r>
      <w:r w:rsidR="001F7828">
        <w:t xml:space="preserve">improves </w:t>
      </w:r>
      <w:r w:rsidR="00D80A44">
        <w:t xml:space="preserve">both </w:t>
      </w:r>
      <w:r w:rsidR="001F7828">
        <w:t>child</w:t>
      </w:r>
      <w:r w:rsidR="00D80A44">
        <w:t xml:space="preserve"> and parental</w:t>
      </w:r>
      <w:r w:rsidR="001F7828">
        <w:t xml:space="preserve"> mental hea</w:t>
      </w:r>
      <w:r w:rsidR="002B7DB9">
        <w:t>l</w:t>
      </w:r>
      <w:r w:rsidR="001F7828">
        <w:t>th</w:t>
      </w:r>
      <w:r w:rsidR="00D80A44">
        <w:t>. It</w:t>
      </w:r>
      <w:r w:rsidR="00065C15">
        <w:t xml:space="preserve"> </w:t>
      </w:r>
      <w:r w:rsidR="00F34EED">
        <w:t xml:space="preserve">provides a context in which a child’s </w:t>
      </w:r>
      <w:r w:rsidR="00065C15">
        <w:t>developmental milestones</w:t>
      </w:r>
      <w:r w:rsidR="00F34EED">
        <w:t xml:space="preserve"> are monitored</w:t>
      </w:r>
      <w:r w:rsidR="0076145F">
        <w:t>,</w:t>
      </w:r>
      <w:r w:rsidR="005F7B35">
        <w:rPr>
          <w:rStyle w:val="FootnoteReference"/>
        </w:rPr>
        <w:footnoteReference w:id="2"/>
      </w:r>
      <w:r w:rsidR="00094B42" w:rsidDel="00094B42">
        <w:rPr>
          <w:rStyle w:val="FootnoteReference"/>
        </w:rPr>
        <w:t xml:space="preserve"> </w:t>
      </w:r>
      <w:r w:rsidR="005F7B35">
        <w:t xml:space="preserve"> </w:t>
      </w:r>
      <w:r w:rsidR="00EB272F">
        <w:t xml:space="preserve">and parents </w:t>
      </w:r>
      <w:r w:rsidR="00D45380">
        <w:t>have greater flexibility to participate in the labor force</w:t>
      </w:r>
      <w:r w:rsidR="00771663">
        <w:t xml:space="preserve"> when their children are enrolled in ECE</w:t>
      </w:r>
      <w:r w:rsidR="0076145F">
        <w:t>.</w:t>
      </w:r>
      <w:r w:rsidR="00E4567E">
        <w:rPr>
          <w:rStyle w:val="FootnoteReference"/>
        </w:rPr>
        <w:footnoteReference w:id="3"/>
      </w:r>
      <w:r w:rsidR="00EB272F">
        <w:t xml:space="preserve"> </w:t>
      </w:r>
    </w:p>
    <w:p w14:paraId="2E5537A9" w14:textId="77777777" w:rsidR="00E55355" w:rsidRPr="000F4B0B" w:rsidRDefault="00E55355" w:rsidP="00E55355"/>
    <w:p w14:paraId="10D8FD63" w14:textId="16DF6B48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3A73AD0D" w14:textId="09C2FD36" w:rsidR="00834A83" w:rsidRPr="00537B33" w:rsidRDefault="006007DB" w:rsidP="00537B33">
      <w:pPr>
        <w:pStyle w:val="ListParagraph"/>
        <w:numPr>
          <w:ilvl w:val="1"/>
          <w:numId w:val="14"/>
        </w:numPr>
        <w:rPr>
          <w:bCs/>
        </w:rPr>
      </w:pPr>
      <w:r w:rsidRPr="00996D60">
        <w:rPr>
          <w:bCs/>
        </w:rPr>
        <w:t>[</w:t>
      </w:r>
      <w:r w:rsidRPr="00996D60">
        <w:rPr>
          <w:bCs/>
          <w:i/>
          <w:iCs/>
        </w:rPr>
        <w:t>Importance</w:t>
      </w:r>
      <w:r w:rsidRPr="00996D60">
        <w:rPr>
          <w:bCs/>
        </w:rPr>
        <w:t xml:space="preserve">] </w:t>
      </w:r>
      <w:r w:rsidR="00537B33">
        <w:rPr>
          <w:bCs/>
        </w:rPr>
        <w:t>ECE</w:t>
      </w:r>
      <w:r w:rsidR="0064167E" w:rsidRPr="00996D60">
        <w:rPr>
          <w:bCs/>
        </w:rPr>
        <w:t xml:space="preserve"> provides a context for early detection of mental and developmental issues in children</w:t>
      </w:r>
      <w:r w:rsidR="00B82B45">
        <w:rPr>
          <w:rStyle w:val="FootnoteReference"/>
          <w:bCs/>
        </w:rPr>
        <w:footnoteReference w:id="4"/>
      </w:r>
      <w:r w:rsidR="00B82B45">
        <w:rPr>
          <w:bCs/>
        </w:rPr>
        <w:t xml:space="preserve"> </w:t>
      </w:r>
      <w:r w:rsidR="007317F0" w:rsidRPr="00996D60">
        <w:rPr>
          <w:bCs/>
        </w:rPr>
        <w:t xml:space="preserve">and </w:t>
      </w:r>
      <w:r w:rsidR="00933EAF" w:rsidRPr="00996D60">
        <w:rPr>
          <w:bCs/>
        </w:rPr>
        <w:t>supports the development of positive mental health</w:t>
      </w:r>
      <w:r w:rsidR="006B5318" w:rsidRPr="00996D60">
        <w:rPr>
          <w:bCs/>
        </w:rPr>
        <w:t>, self-regulation, and executive functioning</w:t>
      </w:r>
      <w:r w:rsidR="000A47F6">
        <w:rPr>
          <w:bCs/>
        </w:rPr>
        <w:t>.</w:t>
      </w:r>
      <w:r w:rsidR="00C46DBE">
        <w:rPr>
          <w:rStyle w:val="FootnoteReference"/>
          <w:bCs/>
        </w:rPr>
        <w:footnoteReference w:id="5"/>
      </w:r>
      <w:r w:rsidR="00CC3879" w:rsidRPr="00CC3879">
        <w:rPr>
          <w:bCs/>
          <w:vertAlign w:val="superscript"/>
        </w:rPr>
        <w:t>,</w:t>
      </w:r>
      <w:r w:rsidR="00217109">
        <w:rPr>
          <w:rFonts w:cs="Times New Roman (Body CS)"/>
          <w:bCs/>
          <w:vertAlign w:val="superscript"/>
        </w:rPr>
        <w:t xml:space="preserve"> </w:t>
      </w:r>
      <w:r w:rsidR="00217109">
        <w:rPr>
          <w:rStyle w:val="FootnoteReference"/>
          <w:rFonts w:cs="Times New Roman (Body CS)"/>
          <w:bCs/>
        </w:rPr>
        <w:footnoteReference w:id="6"/>
      </w:r>
      <w:r w:rsidR="00933EAF" w:rsidRPr="00996D60">
        <w:rPr>
          <w:bCs/>
        </w:rPr>
        <w:t xml:space="preserve"> </w:t>
      </w:r>
      <w:r w:rsidR="000A47F6">
        <w:rPr>
          <w:bCs/>
        </w:rPr>
        <w:t xml:space="preserve"> </w:t>
      </w:r>
      <w:r w:rsidR="00DB2437">
        <w:rPr>
          <w:bCs/>
        </w:rPr>
        <w:t xml:space="preserve">ECE has also </w:t>
      </w:r>
      <w:r w:rsidR="0016371F">
        <w:rPr>
          <w:bCs/>
        </w:rPr>
        <w:t xml:space="preserve">been </w:t>
      </w:r>
      <w:r w:rsidR="00DB2437">
        <w:rPr>
          <w:bCs/>
        </w:rPr>
        <w:t xml:space="preserve">shown to improve </w:t>
      </w:r>
      <w:r w:rsidR="00F64906">
        <w:rPr>
          <w:bCs/>
        </w:rPr>
        <w:t xml:space="preserve">high school completion rates and lower </w:t>
      </w:r>
      <w:r w:rsidR="0097094C">
        <w:rPr>
          <w:bCs/>
        </w:rPr>
        <w:t>rates of involvement with the criminal justice system, both of which are associated with better mental health outcomes.</w:t>
      </w:r>
      <w:r w:rsidR="009475DB">
        <w:rPr>
          <w:rStyle w:val="FootnoteReference"/>
          <w:bCs/>
        </w:rPr>
        <w:footnoteReference w:id="7"/>
      </w:r>
      <w:r w:rsidR="004C1BAD">
        <w:rPr>
          <w:bCs/>
        </w:rPr>
        <w:t xml:space="preserve"> </w:t>
      </w:r>
      <w:r w:rsidR="004C1BAD">
        <w:t xml:space="preserve">There is also a strong connection between child mental health </w:t>
      </w:r>
      <w:r w:rsidR="004C1BAD">
        <w:lastRenderedPageBreak/>
        <w:t>and parent mental health</w:t>
      </w:r>
      <w:r w:rsidR="004C1BAD">
        <w:rPr>
          <w:rStyle w:val="FootnoteReference"/>
        </w:rPr>
        <w:footnoteReference w:id="8"/>
      </w:r>
      <w:r w:rsidR="004C1BAD">
        <w:t>; when a parent has access to childcare (e.g. ECE) they have more time to take care of themselves and their household, which cultivates an environment in which children can thrive.</w:t>
      </w:r>
    </w:p>
    <w:p w14:paraId="62ED4DDA" w14:textId="00450A0B" w:rsidR="00C12D8E" w:rsidRPr="00C12D8E" w:rsidRDefault="00834A83" w:rsidP="00C7343D">
      <w:pPr>
        <w:pStyle w:val="ListParagraph"/>
        <w:numPr>
          <w:ilvl w:val="1"/>
          <w:numId w:val="14"/>
        </w:numPr>
        <w:rPr>
          <w:i/>
          <w:iCs/>
        </w:rPr>
      </w:pPr>
      <w:r w:rsidRPr="00317440">
        <w:rPr>
          <w:bCs/>
        </w:rPr>
        <w:t>[</w:t>
      </w:r>
      <w:r w:rsidRPr="00317440">
        <w:rPr>
          <w:bCs/>
          <w:i/>
          <w:iCs/>
        </w:rPr>
        <w:t>Equity</w:t>
      </w:r>
      <w:r w:rsidRPr="00317440">
        <w:rPr>
          <w:bCs/>
        </w:rPr>
        <w:t xml:space="preserve">] </w:t>
      </w:r>
      <w:r w:rsidR="005E602A">
        <w:rPr>
          <w:bCs/>
        </w:rPr>
        <w:t>C</w:t>
      </w:r>
      <w:r w:rsidR="00F35947" w:rsidRPr="00317440">
        <w:rPr>
          <w:bCs/>
        </w:rPr>
        <w:t xml:space="preserve">hildren </w:t>
      </w:r>
      <w:r w:rsidR="007D28AA">
        <w:rPr>
          <w:bCs/>
        </w:rPr>
        <w:t xml:space="preserve">in lower income families </w:t>
      </w:r>
      <w:r w:rsidR="0039740F" w:rsidRPr="00317440">
        <w:rPr>
          <w:bCs/>
        </w:rPr>
        <w:t xml:space="preserve">are less likely to </w:t>
      </w:r>
      <w:r w:rsidR="00D575A2">
        <w:rPr>
          <w:bCs/>
        </w:rPr>
        <w:t xml:space="preserve">have access to </w:t>
      </w:r>
      <w:r w:rsidR="00537B33">
        <w:rPr>
          <w:bCs/>
        </w:rPr>
        <w:t>ECE</w:t>
      </w:r>
      <w:r w:rsidR="00351FDA">
        <w:rPr>
          <w:rStyle w:val="FootnoteReference"/>
          <w:bCs/>
        </w:rPr>
        <w:footnoteReference w:id="9"/>
      </w:r>
      <w:r w:rsidR="005E602A">
        <w:rPr>
          <w:bCs/>
        </w:rPr>
        <w:t xml:space="preserve"> and </w:t>
      </w:r>
      <w:r w:rsidR="005E602A" w:rsidRPr="00317440">
        <w:rPr>
          <w:bCs/>
        </w:rPr>
        <w:t xml:space="preserve">Black Americans are </w:t>
      </w:r>
      <w:r w:rsidR="00E51333">
        <w:rPr>
          <w:bCs/>
        </w:rPr>
        <w:t xml:space="preserve">over-represented among the population living in poverty relative to </w:t>
      </w:r>
      <w:r w:rsidR="000967E1">
        <w:rPr>
          <w:bCs/>
        </w:rPr>
        <w:t xml:space="preserve">their </w:t>
      </w:r>
      <w:r w:rsidR="00657392">
        <w:rPr>
          <w:bCs/>
        </w:rPr>
        <w:t xml:space="preserve">proportion of </w:t>
      </w:r>
      <w:r w:rsidR="000967E1">
        <w:rPr>
          <w:bCs/>
        </w:rPr>
        <w:t>the population as a whole</w:t>
      </w:r>
      <w:r w:rsidR="002B2471">
        <w:rPr>
          <w:bCs/>
        </w:rPr>
        <w:t>.</w:t>
      </w:r>
      <w:r w:rsidR="005E602A">
        <w:rPr>
          <w:rStyle w:val="FootnoteReference"/>
          <w:bCs/>
        </w:rPr>
        <w:footnoteReference w:id="10"/>
      </w:r>
      <w:r w:rsidR="005E602A">
        <w:rPr>
          <w:bCs/>
        </w:rPr>
        <w:t xml:space="preserve"> </w:t>
      </w:r>
      <w:r w:rsidR="00D253E2">
        <w:rPr>
          <w:bCs/>
        </w:rPr>
        <w:t xml:space="preserve">This creates an increased risk of </w:t>
      </w:r>
      <w:r w:rsidR="00B37D38">
        <w:rPr>
          <w:bCs/>
        </w:rPr>
        <w:t xml:space="preserve">mental distress for both </w:t>
      </w:r>
      <w:r w:rsidR="003C7202">
        <w:rPr>
          <w:bCs/>
        </w:rPr>
        <w:t xml:space="preserve">Black </w:t>
      </w:r>
      <w:r w:rsidR="00B37D38">
        <w:rPr>
          <w:bCs/>
        </w:rPr>
        <w:t>children and parents</w:t>
      </w:r>
      <w:r w:rsidR="00D04686">
        <w:rPr>
          <w:bCs/>
        </w:rPr>
        <w:t>, emphasiz</w:t>
      </w:r>
      <w:r w:rsidR="001E3F58">
        <w:rPr>
          <w:bCs/>
        </w:rPr>
        <w:t>ing</w:t>
      </w:r>
      <w:r w:rsidR="00D04686">
        <w:rPr>
          <w:bCs/>
        </w:rPr>
        <w:t xml:space="preserve"> the importance of u</w:t>
      </w:r>
      <w:r w:rsidR="00B108C1">
        <w:rPr>
          <w:bCs/>
        </w:rPr>
        <w:t xml:space="preserve">nderstanding the proportion of </w:t>
      </w:r>
      <w:r w:rsidR="003C7202">
        <w:rPr>
          <w:bCs/>
        </w:rPr>
        <w:t xml:space="preserve">Black </w:t>
      </w:r>
      <w:r w:rsidR="00B108C1">
        <w:rPr>
          <w:bCs/>
        </w:rPr>
        <w:t>children engaged in ECE</w:t>
      </w:r>
      <w:r w:rsidR="001E3F58">
        <w:rPr>
          <w:bCs/>
        </w:rPr>
        <w:t>.</w:t>
      </w:r>
      <w:r w:rsidR="00B108C1">
        <w:rPr>
          <w:bCs/>
        </w:rPr>
        <w:t xml:space="preserve">  </w:t>
      </w:r>
      <w:r w:rsidR="00C12D8E" w:rsidRPr="00C12D8E">
        <w:rPr>
          <w:i/>
          <w:iCs/>
        </w:rPr>
        <w:t xml:space="preserve">[Feasibility] </w:t>
      </w:r>
      <w:r w:rsidR="00C12D8E" w:rsidRPr="00350CD5">
        <w:t>This measure</w:t>
      </w:r>
      <w:r w:rsidR="00C12D8E" w:rsidRPr="00C935FD">
        <w:t xml:space="preserve"> is readily available through the </w:t>
      </w:r>
      <w:r w:rsidR="00C12D8E">
        <w:t>ACS, an ongoing survey that provides data in the year immediately following the year in which they are collected.</w:t>
      </w:r>
      <w:r w:rsidR="00C12D8E" w:rsidRPr="00DB0A3E">
        <w:t xml:space="preserve"> </w:t>
      </w:r>
    </w:p>
    <w:p w14:paraId="6E3A7B37" w14:textId="268072ED" w:rsidR="00615CCF" w:rsidRPr="007B2454" w:rsidRDefault="00C12D8E" w:rsidP="007B2454">
      <w:pPr>
        <w:pStyle w:val="ListParagraph"/>
        <w:numPr>
          <w:ilvl w:val="1"/>
          <w:numId w:val="14"/>
        </w:numPr>
        <w:rPr>
          <w:i/>
          <w:iCs/>
        </w:rPr>
      </w:pPr>
      <w:r w:rsidRPr="00C77C25">
        <w:rPr>
          <w:i/>
          <w:iCs/>
        </w:rPr>
        <w:t>[Scientific Soundness]</w:t>
      </w:r>
      <w:r>
        <w:t xml:space="preserve"> </w:t>
      </w:r>
      <w:r w:rsidRPr="00357F09">
        <w:t>ACS data</w:t>
      </w:r>
      <w:r>
        <w:t xml:space="preserve"> provides valid and reliable estimates. </w:t>
      </w:r>
      <w:r w:rsidRPr="005A6133">
        <w:t>This measure calculation is advantageous in that is both simple to calculate and simple to communicate.</w:t>
      </w:r>
    </w:p>
    <w:p w14:paraId="1A907AE3" w14:textId="77777777" w:rsidR="00135370" w:rsidRPr="00537B33" w:rsidRDefault="00135370" w:rsidP="00537B33">
      <w:pPr>
        <w:rPr>
          <w:bCs/>
        </w:rPr>
      </w:pP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72632137" w14:textId="6BEC8C8F" w:rsidR="00662578" w:rsidRPr="00662578" w:rsidRDefault="00CC6FD7" w:rsidP="00537B33">
      <w:pPr>
        <w:pStyle w:val="ListParagraph"/>
        <w:numPr>
          <w:ilvl w:val="1"/>
          <w:numId w:val="14"/>
        </w:numPr>
        <w:rPr>
          <w:b/>
          <w:bCs/>
        </w:rPr>
      </w:pPr>
      <w:r w:rsidRPr="00622318">
        <w:rPr>
          <w:bCs/>
        </w:rPr>
        <w:t>[</w:t>
      </w:r>
      <w:r w:rsidR="00317440" w:rsidRPr="00622318">
        <w:rPr>
          <w:bCs/>
          <w:i/>
          <w:iCs/>
        </w:rPr>
        <w:t>Scientific Soundness</w:t>
      </w:r>
      <w:r w:rsidR="00E412E3">
        <w:rPr>
          <w:bCs/>
        </w:rPr>
        <w:t xml:space="preserve">] </w:t>
      </w:r>
      <w:r w:rsidR="00771205">
        <w:rPr>
          <w:bCs/>
        </w:rPr>
        <w:t xml:space="preserve">Data for the numerator and denominator of this measure come from different ACS tables that have differing age cutoffs. </w:t>
      </w:r>
      <w:r w:rsidR="00615CCF">
        <w:rPr>
          <w:bCs/>
        </w:rPr>
        <w:t xml:space="preserve">The </w:t>
      </w:r>
      <w:r w:rsidR="00E5732C">
        <w:rPr>
          <w:bCs/>
        </w:rPr>
        <w:t xml:space="preserve">table for the </w:t>
      </w:r>
      <w:r w:rsidR="00615CCF">
        <w:rPr>
          <w:bCs/>
        </w:rPr>
        <w:t xml:space="preserve">numerator (the number of </w:t>
      </w:r>
      <w:r w:rsidR="008E5849">
        <w:rPr>
          <w:bCs/>
        </w:rPr>
        <w:t>children enrolled in nurse</w:t>
      </w:r>
      <w:r w:rsidR="00E5732C">
        <w:rPr>
          <w:bCs/>
        </w:rPr>
        <w:t>r</w:t>
      </w:r>
      <w:r w:rsidR="008E5849">
        <w:rPr>
          <w:bCs/>
        </w:rPr>
        <w:t>y and preschool</w:t>
      </w:r>
      <w:r w:rsidR="00615CCF">
        <w:rPr>
          <w:bCs/>
        </w:rPr>
        <w:t>)</w:t>
      </w:r>
      <w:r w:rsidR="00637134">
        <w:rPr>
          <w:bCs/>
        </w:rPr>
        <w:t xml:space="preserve"> </w:t>
      </w:r>
      <w:r w:rsidR="00E5732C">
        <w:rPr>
          <w:bCs/>
        </w:rPr>
        <w:t xml:space="preserve">is only for children </w:t>
      </w:r>
      <w:r w:rsidR="00E50AE2">
        <w:rPr>
          <w:bCs/>
        </w:rPr>
        <w:t>aged</w:t>
      </w:r>
      <w:r w:rsidR="00E5732C">
        <w:rPr>
          <w:bCs/>
        </w:rPr>
        <w:t xml:space="preserve"> 3 and older</w:t>
      </w:r>
      <w:r w:rsidR="008C0873">
        <w:rPr>
          <w:bCs/>
        </w:rPr>
        <w:t xml:space="preserve"> (</w:t>
      </w:r>
      <w:r w:rsidR="00B47EFE">
        <w:rPr>
          <w:bCs/>
        </w:rPr>
        <w:t xml:space="preserve">because </w:t>
      </w:r>
      <w:r w:rsidR="00811BE1">
        <w:rPr>
          <w:bCs/>
        </w:rPr>
        <w:t xml:space="preserve">this question is only asked for children </w:t>
      </w:r>
      <w:r w:rsidR="00E50AE2">
        <w:rPr>
          <w:bCs/>
        </w:rPr>
        <w:t>aged</w:t>
      </w:r>
      <w:r w:rsidR="00811BE1">
        <w:rPr>
          <w:bCs/>
        </w:rPr>
        <w:t xml:space="preserve"> 3 and older)</w:t>
      </w:r>
      <w:r w:rsidR="00E5732C">
        <w:rPr>
          <w:bCs/>
        </w:rPr>
        <w:t xml:space="preserve">, while the </w:t>
      </w:r>
      <w:r w:rsidR="00447245">
        <w:rPr>
          <w:bCs/>
        </w:rPr>
        <w:t xml:space="preserve">table for the </w:t>
      </w:r>
      <w:r w:rsidR="00E5732C">
        <w:rPr>
          <w:bCs/>
        </w:rPr>
        <w:t>denominator</w:t>
      </w:r>
      <w:r w:rsidR="00447245">
        <w:rPr>
          <w:bCs/>
        </w:rPr>
        <w:t xml:space="preserve"> </w:t>
      </w:r>
      <w:r w:rsidR="00F56E45">
        <w:rPr>
          <w:bCs/>
        </w:rPr>
        <w:t>includes all children</w:t>
      </w:r>
      <w:r w:rsidR="003257B7">
        <w:rPr>
          <w:bCs/>
        </w:rPr>
        <w:t xml:space="preserve"> under age 5. </w:t>
      </w:r>
      <w:r w:rsidR="005E5061">
        <w:rPr>
          <w:bCs/>
        </w:rPr>
        <w:t xml:space="preserve"> </w:t>
      </w:r>
      <w:r w:rsidR="00BF3CD2">
        <w:rPr>
          <w:bCs/>
        </w:rPr>
        <w:t>As a result</w:t>
      </w:r>
      <w:r w:rsidR="005E5061">
        <w:rPr>
          <w:bCs/>
        </w:rPr>
        <w:t xml:space="preserve">, the values may be an undercount of the percent enrolled in nursery and preschool </w:t>
      </w:r>
      <w:r w:rsidR="00BF3CD2">
        <w:rPr>
          <w:bCs/>
        </w:rPr>
        <w:t xml:space="preserve">given the more inclusive age range for the </w:t>
      </w:r>
      <w:r w:rsidR="00772F62">
        <w:rPr>
          <w:bCs/>
        </w:rPr>
        <w:t>denominator</w:t>
      </w:r>
      <w:r w:rsidR="00BF3CD2">
        <w:rPr>
          <w:bCs/>
        </w:rPr>
        <w:t xml:space="preserve">. </w:t>
      </w:r>
    </w:p>
    <w:p w14:paraId="4DB9D157" w14:textId="7A229675" w:rsidR="00622318" w:rsidRPr="00537B33" w:rsidRDefault="00D557A5" w:rsidP="00537B33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Cs/>
          <w:i/>
          <w:iCs/>
        </w:rPr>
        <w:t>[</w:t>
      </w:r>
      <w:r w:rsidR="00660209" w:rsidRPr="00622318">
        <w:rPr>
          <w:bCs/>
          <w:i/>
          <w:iCs/>
        </w:rPr>
        <w:t>Equity</w:t>
      </w:r>
      <w:r w:rsidR="00CC6FD7" w:rsidRPr="00622318">
        <w:rPr>
          <w:bCs/>
        </w:rPr>
        <w:t xml:space="preserve">] </w:t>
      </w:r>
      <w:r w:rsidR="0069392C">
        <w:rPr>
          <w:bCs/>
        </w:rPr>
        <w:t>The ACS data</w:t>
      </w:r>
      <w:r w:rsidR="00DF413C">
        <w:rPr>
          <w:bCs/>
        </w:rPr>
        <w:t>set</w:t>
      </w:r>
      <w:r w:rsidR="0069392C">
        <w:rPr>
          <w:bCs/>
        </w:rPr>
        <w:t xml:space="preserve"> </w:t>
      </w:r>
      <w:r w:rsidR="00DF413C">
        <w:rPr>
          <w:bCs/>
        </w:rPr>
        <w:t xml:space="preserve">does </w:t>
      </w:r>
      <w:r w:rsidR="0069392C">
        <w:rPr>
          <w:bCs/>
        </w:rPr>
        <w:t>not provide information on</w:t>
      </w:r>
      <w:r w:rsidR="006423F3">
        <w:rPr>
          <w:bCs/>
        </w:rPr>
        <w:t xml:space="preserve"> the</w:t>
      </w:r>
      <w:r w:rsidR="0069392C">
        <w:rPr>
          <w:bCs/>
        </w:rPr>
        <w:t xml:space="preserve"> </w:t>
      </w:r>
      <w:r w:rsidR="00037B3D">
        <w:rPr>
          <w:bCs/>
        </w:rPr>
        <w:t xml:space="preserve">availability, </w:t>
      </w:r>
      <w:r w:rsidR="0069392C">
        <w:rPr>
          <w:bCs/>
        </w:rPr>
        <w:t>quality</w:t>
      </w:r>
      <w:r w:rsidR="003B413D">
        <w:rPr>
          <w:bCs/>
        </w:rPr>
        <w:t>,</w:t>
      </w:r>
      <w:r w:rsidR="001A6ADF">
        <w:rPr>
          <w:bCs/>
        </w:rPr>
        <w:t xml:space="preserve"> or</w:t>
      </w:r>
      <w:r w:rsidR="006423F3">
        <w:rPr>
          <w:bCs/>
        </w:rPr>
        <w:t xml:space="preserve"> affordability</w:t>
      </w:r>
      <w:r w:rsidR="0069392C">
        <w:rPr>
          <w:bCs/>
        </w:rPr>
        <w:t xml:space="preserve"> of </w:t>
      </w:r>
      <w:r w:rsidR="006967EE">
        <w:rPr>
          <w:bCs/>
        </w:rPr>
        <w:t>nurs</w:t>
      </w:r>
      <w:r w:rsidR="006423F3">
        <w:rPr>
          <w:bCs/>
        </w:rPr>
        <w:t>ery and pre-k programs</w:t>
      </w:r>
      <w:r w:rsidR="007E038E">
        <w:rPr>
          <w:bCs/>
        </w:rPr>
        <w:t>. D</w:t>
      </w:r>
      <w:r w:rsidR="00185A74">
        <w:rPr>
          <w:bCs/>
        </w:rPr>
        <w:t xml:space="preserve">ata from the National Center for Education Statistics shows that </w:t>
      </w:r>
      <w:r w:rsidR="001B08E1">
        <w:rPr>
          <w:bCs/>
        </w:rPr>
        <w:t xml:space="preserve">on average, </w:t>
      </w:r>
      <w:r w:rsidR="002E08E3" w:rsidRPr="00622318">
        <w:rPr>
          <w:bCs/>
        </w:rPr>
        <w:t>B</w:t>
      </w:r>
      <w:r w:rsidR="005605CA" w:rsidRPr="00622318">
        <w:rPr>
          <w:bCs/>
        </w:rPr>
        <w:t xml:space="preserve">lack children </w:t>
      </w:r>
      <w:r w:rsidR="00FC4712">
        <w:rPr>
          <w:bCs/>
        </w:rPr>
        <w:t>are more likely to</w:t>
      </w:r>
      <w:r w:rsidR="00FC4712" w:rsidRPr="00622318">
        <w:rPr>
          <w:bCs/>
        </w:rPr>
        <w:t xml:space="preserve"> </w:t>
      </w:r>
      <w:r w:rsidR="005605CA" w:rsidRPr="00622318">
        <w:rPr>
          <w:bCs/>
        </w:rPr>
        <w:t>attend free and government-sponsored schools</w:t>
      </w:r>
      <w:r w:rsidR="003C25D7" w:rsidRPr="00622318">
        <w:rPr>
          <w:bCs/>
        </w:rPr>
        <w:t xml:space="preserve"> of lower quality</w:t>
      </w:r>
      <w:r w:rsidR="00622318">
        <w:rPr>
          <w:bCs/>
        </w:rPr>
        <w:t>.</w:t>
      </w:r>
      <w:r w:rsidR="00351FDA" w:rsidRPr="00622318">
        <w:rPr>
          <w:rFonts w:cs="Times New Roman (Body CS)"/>
          <w:bCs/>
          <w:vertAlign w:val="superscript"/>
        </w:rPr>
        <w:t>7,</w:t>
      </w:r>
      <w:r w:rsidR="00351FDA">
        <w:rPr>
          <w:rStyle w:val="FootnoteReference"/>
          <w:rFonts w:cs="Times New Roman (Body CS)"/>
          <w:bCs/>
        </w:rPr>
        <w:footnoteReference w:id="11"/>
      </w:r>
      <w:r w:rsidR="00485CAB">
        <w:rPr>
          <w:rFonts w:cs="Times New Roman (Body CS)"/>
          <w:bCs/>
          <w:vertAlign w:val="superscript"/>
        </w:rPr>
        <w:t xml:space="preserve"> </w:t>
      </w:r>
      <w:r w:rsidR="00DF413C">
        <w:rPr>
          <w:rFonts w:cs="Times New Roman (Body CS)"/>
          <w:bCs/>
        </w:rPr>
        <w:t xml:space="preserve">Additional information on the quality of ECE programs </w:t>
      </w:r>
      <w:r w:rsidR="00F24874">
        <w:rPr>
          <w:rFonts w:cs="Times New Roman (Body CS)"/>
          <w:bCs/>
        </w:rPr>
        <w:t xml:space="preserve">would allow for more equitable and accurate measurement of potential impacts on mental health and wellbeing. </w:t>
      </w:r>
    </w:p>
    <w:p w14:paraId="5EFBCECF" w14:textId="77777777" w:rsidR="000A47F6" w:rsidRDefault="000A47F6" w:rsidP="00A16408">
      <w:pPr>
        <w:rPr>
          <w:b/>
          <w:bCs/>
        </w:rPr>
      </w:pPr>
    </w:p>
    <w:p w14:paraId="7C3B5A26" w14:textId="77777777" w:rsidR="00405635" w:rsidRPr="005D6FFF" w:rsidRDefault="00523739" w:rsidP="00405635">
      <w:r>
        <w:rPr>
          <w:b/>
          <w:bCs/>
        </w:rPr>
        <w:t xml:space="preserve">Default </w:t>
      </w:r>
      <w:r w:rsidR="00EC670E" w:rsidRPr="00EC670E">
        <w:rPr>
          <w:b/>
          <w:bCs/>
        </w:rPr>
        <w:t>Weight</w:t>
      </w:r>
      <w:r w:rsidR="00FA2ED2">
        <w:t>:</w:t>
      </w:r>
      <w:r w:rsidR="00EC670E">
        <w:rPr>
          <w:b/>
          <w:bCs/>
        </w:rPr>
        <w:t xml:space="preserve"> </w:t>
      </w:r>
      <w:r w:rsidR="00405635" w:rsidRPr="005D6FFF">
        <w:t>4.3</w:t>
      </w:r>
      <w:r w:rsidR="00405635">
        <w:t xml:space="preserve">% </w:t>
      </w:r>
      <w:r w:rsidR="00405635" w:rsidRPr="00480C8D">
        <w:rPr>
          <w:sz w:val="20"/>
          <w:szCs w:val="20"/>
        </w:rPr>
        <w:t>(</w:t>
      </w:r>
      <w:r w:rsidR="00405635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405635" w:rsidRPr="00480C8D">
        <w:rPr>
          <w:sz w:val="20"/>
          <w:szCs w:val="20"/>
        </w:rPr>
        <w:t>)</w:t>
      </w:r>
    </w:p>
    <w:p w14:paraId="7305B90C" w14:textId="0BFE51F4" w:rsidR="00A16408" w:rsidRPr="00EC670E" w:rsidRDefault="00A16408" w:rsidP="00A16408"/>
    <w:p w14:paraId="507A78AC" w14:textId="05744A29" w:rsidR="00A16408" w:rsidRDefault="00A16408" w:rsidP="00A16408"/>
    <w:p w14:paraId="400BBB33" w14:textId="6DBA896C" w:rsidR="00A16408" w:rsidRPr="00FA2ED2" w:rsidRDefault="00A16408" w:rsidP="00A16408">
      <w:r w:rsidRPr="25B5CD40">
        <w:rPr>
          <w:b/>
          <w:bCs/>
        </w:rPr>
        <w:t>Calculation</w:t>
      </w:r>
      <w:r w:rsidR="00FA2ED2">
        <w:t>:</w:t>
      </w:r>
    </w:p>
    <w:p w14:paraId="17F3BF76" w14:textId="0E089795" w:rsidR="25B5CD40" w:rsidRDefault="25B5CD40"/>
    <w:p w14:paraId="4D25F491" w14:textId="627F9CB7" w:rsidR="4875587F" w:rsidRDefault="00B717D5" w:rsidP="25B5CD40">
      <w:r>
        <w:rPr>
          <w:i/>
          <w:iCs/>
        </w:rPr>
        <w:t>Overall</w:t>
      </w:r>
      <w:r w:rsidR="4875587F" w:rsidRPr="002258B1">
        <w:rPr>
          <w:i/>
          <w:iCs/>
        </w:rPr>
        <w:t xml:space="preserve"> Population Calculation</w:t>
      </w:r>
      <w:r w:rsidR="4875587F">
        <w:t xml:space="preserve">: </w:t>
      </w:r>
    </w:p>
    <w:p w14:paraId="7319DF5E" w14:textId="77777777" w:rsidR="001D62A1" w:rsidRDefault="001D62A1">
      <w:pPr>
        <w:ind w:firstLine="720"/>
        <w:rPr>
          <w:b/>
          <w:bCs/>
        </w:rPr>
      </w:pPr>
    </w:p>
    <w:p w14:paraId="5E0ED5B2" w14:textId="08713206" w:rsidR="25B5CD40" w:rsidRPr="00F00104" w:rsidRDefault="000E6628" w:rsidP="00F00104">
      <w:pPr>
        <w:ind w:firstLine="72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Nursery and Preschool Enrollmen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children age 3 and older enrolled in nursery school or preschool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population under 5 years of age</m:t>
              </m:r>
            </m:den>
          </m:f>
        </m:oMath>
      </m:oMathPara>
    </w:p>
    <w:p w14:paraId="3C5B967B" w14:textId="152B2AEB" w:rsidR="00837E17" w:rsidRPr="00566301" w:rsidRDefault="00837E17" w:rsidP="25B5CD40">
      <w:pPr>
        <w:rPr>
          <w:sz w:val="22"/>
          <w:szCs w:val="22"/>
        </w:rPr>
      </w:pPr>
    </w:p>
    <w:p w14:paraId="1693D9C6" w14:textId="7998C7EC" w:rsidR="009A4D1D" w:rsidRPr="00566301" w:rsidRDefault="00983092" w:rsidP="00F00104">
      <w:pPr>
        <w:ind w:left="360"/>
        <w:rPr>
          <w:sz w:val="22"/>
          <w:szCs w:val="22"/>
        </w:rPr>
      </w:pPr>
      <w:r w:rsidRPr="00566301">
        <w:rPr>
          <w:sz w:val="22"/>
          <w:szCs w:val="22"/>
        </w:rPr>
        <w:t xml:space="preserve">ACS </w:t>
      </w:r>
      <w:r w:rsidR="001E561B" w:rsidRPr="00566301">
        <w:rPr>
          <w:sz w:val="22"/>
          <w:szCs w:val="22"/>
        </w:rPr>
        <w:t xml:space="preserve">tables and </w:t>
      </w:r>
      <w:r w:rsidRPr="00566301">
        <w:rPr>
          <w:sz w:val="22"/>
          <w:szCs w:val="22"/>
        </w:rPr>
        <w:t>variables used:</w:t>
      </w:r>
    </w:p>
    <w:p w14:paraId="2C9386B0" w14:textId="038EF7F1" w:rsidR="00100979" w:rsidRPr="00566301" w:rsidRDefault="00983092" w:rsidP="00F00104">
      <w:pPr>
        <w:pStyle w:val="ListParagraph"/>
        <w:numPr>
          <w:ilvl w:val="0"/>
          <w:numId w:val="22"/>
        </w:numPr>
        <w:ind w:left="1080"/>
        <w:rPr>
          <w:sz w:val="22"/>
          <w:szCs w:val="22"/>
        </w:rPr>
      </w:pPr>
      <w:r w:rsidRPr="00566301">
        <w:rPr>
          <w:sz w:val="22"/>
          <w:szCs w:val="22"/>
        </w:rPr>
        <w:t>Table B14007: School enrollment by Detailed Level of Schoo</w:t>
      </w:r>
      <w:r w:rsidR="00100979" w:rsidRPr="00566301">
        <w:rPr>
          <w:sz w:val="22"/>
          <w:szCs w:val="22"/>
        </w:rPr>
        <w:t>l</w:t>
      </w:r>
      <w:r w:rsidR="00F57825" w:rsidRPr="00566301">
        <w:rPr>
          <w:sz w:val="22"/>
          <w:szCs w:val="22"/>
        </w:rPr>
        <w:t xml:space="preserve"> </w:t>
      </w:r>
      <w:r w:rsidR="008D3843" w:rsidRPr="00566301">
        <w:rPr>
          <w:sz w:val="22"/>
          <w:szCs w:val="22"/>
        </w:rPr>
        <w:t>f</w:t>
      </w:r>
      <w:r w:rsidR="00F57825" w:rsidRPr="00566301">
        <w:rPr>
          <w:sz w:val="22"/>
          <w:szCs w:val="22"/>
        </w:rPr>
        <w:t>or the Population 3 Years and Over</w:t>
      </w:r>
    </w:p>
    <w:p w14:paraId="64E8B4EB" w14:textId="77777777" w:rsidR="00100979" w:rsidRPr="00566301" w:rsidRDefault="00981CD5" w:rsidP="00F00104">
      <w:pPr>
        <w:pStyle w:val="ListParagraph"/>
        <w:numPr>
          <w:ilvl w:val="1"/>
          <w:numId w:val="22"/>
        </w:numPr>
        <w:ind w:left="1800"/>
        <w:rPr>
          <w:sz w:val="22"/>
          <w:szCs w:val="22"/>
        </w:rPr>
      </w:pPr>
      <w:r w:rsidRPr="00566301">
        <w:rPr>
          <w:sz w:val="22"/>
          <w:szCs w:val="22"/>
        </w:rPr>
        <w:t>B14007_003: Estimate Total Enrolled in nursery school, preschool</w:t>
      </w:r>
    </w:p>
    <w:p w14:paraId="1AFD14F7" w14:textId="77777777" w:rsidR="00100979" w:rsidRPr="00566301" w:rsidRDefault="00100979" w:rsidP="00F00104">
      <w:pPr>
        <w:pStyle w:val="ListParagraph"/>
        <w:numPr>
          <w:ilvl w:val="0"/>
          <w:numId w:val="22"/>
        </w:numPr>
        <w:ind w:left="1080"/>
        <w:rPr>
          <w:sz w:val="22"/>
          <w:szCs w:val="22"/>
        </w:rPr>
      </w:pPr>
      <w:r w:rsidRPr="00566301">
        <w:rPr>
          <w:sz w:val="22"/>
          <w:szCs w:val="22"/>
        </w:rPr>
        <w:t>Table B01001: Sex by Age</w:t>
      </w:r>
    </w:p>
    <w:p w14:paraId="4130C6DD" w14:textId="77777777" w:rsidR="00100979" w:rsidRPr="00566301" w:rsidRDefault="00100979" w:rsidP="00F00104">
      <w:pPr>
        <w:pStyle w:val="ListParagraph"/>
        <w:numPr>
          <w:ilvl w:val="1"/>
          <w:numId w:val="22"/>
        </w:numPr>
        <w:ind w:left="1800"/>
        <w:rPr>
          <w:sz w:val="22"/>
          <w:szCs w:val="22"/>
        </w:rPr>
      </w:pPr>
      <w:r w:rsidRPr="00566301">
        <w:rPr>
          <w:sz w:val="22"/>
          <w:szCs w:val="22"/>
        </w:rPr>
        <w:t>B01001_003: Estimate Total Male Under 5 years</w:t>
      </w:r>
    </w:p>
    <w:p w14:paraId="28C692C7" w14:textId="0FF4E639" w:rsidR="00100979" w:rsidRPr="00566301" w:rsidRDefault="00100979" w:rsidP="00F00104">
      <w:pPr>
        <w:pStyle w:val="ListParagraph"/>
        <w:numPr>
          <w:ilvl w:val="1"/>
          <w:numId w:val="22"/>
        </w:numPr>
        <w:ind w:left="1800"/>
        <w:rPr>
          <w:sz w:val="22"/>
          <w:szCs w:val="22"/>
        </w:rPr>
      </w:pPr>
      <w:r w:rsidRPr="00566301">
        <w:rPr>
          <w:sz w:val="22"/>
          <w:szCs w:val="22"/>
        </w:rPr>
        <w:t>B01001_027: Estimate Total Female Under 5 years</w:t>
      </w:r>
    </w:p>
    <w:p w14:paraId="70EBA0AC" w14:textId="77777777" w:rsidR="00837E17" w:rsidRDefault="00837E17" w:rsidP="00F00104">
      <w:pPr>
        <w:ind w:left="360"/>
      </w:pPr>
    </w:p>
    <w:p w14:paraId="22ABDE4A" w14:textId="3AA1EC1B" w:rsidR="5B50D38A" w:rsidRDefault="5B50D38A" w:rsidP="25B5CD40">
      <w:r w:rsidRPr="002258B1">
        <w:rPr>
          <w:i/>
          <w:iCs/>
        </w:rPr>
        <w:t>Black Population Calculation</w:t>
      </w:r>
      <w:r>
        <w:t xml:space="preserve">: </w:t>
      </w:r>
    </w:p>
    <w:p w14:paraId="36DDC5CE" w14:textId="37C0F054" w:rsidR="25B5CD40" w:rsidRDefault="25B5CD40" w:rsidP="25B5CD40"/>
    <w:p w14:paraId="271AB6CC" w14:textId="28EB80B6" w:rsidR="00E44644" w:rsidRPr="001B0B6A" w:rsidRDefault="000E6628" w:rsidP="00E44644">
      <w:pPr>
        <w:ind w:firstLine="72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Nursery and Preschool Enrollmen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Black children age 3 and older enrolled in nursery school or preschool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Black population under 5 years of age</m:t>
              </m:r>
            </m:den>
          </m:f>
        </m:oMath>
      </m:oMathPara>
    </w:p>
    <w:p w14:paraId="5425F398" w14:textId="77777777" w:rsidR="0043612D" w:rsidRDefault="0043612D" w:rsidP="004C1BAD"/>
    <w:p w14:paraId="195135BD" w14:textId="00BFDA1B" w:rsidR="00C22727" w:rsidRPr="00566301" w:rsidRDefault="009817C8" w:rsidP="00F00104">
      <w:pPr>
        <w:ind w:left="360"/>
        <w:rPr>
          <w:sz w:val="22"/>
          <w:szCs w:val="22"/>
        </w:rPr>
      </w:pPr>
      <w:r w:rsidRPr="00566301">
        <w:rPr>
          <w:sz w:val="22"/>
          <w:szCs w:val="22"/>
        </w:rPr>
        <w:t xml:space="preserve">ACS </w:t>
      </w:r>
      <w:r w:rsidR="001E561B" w:rsidRPr="00566301">
        <w:rPr>
          <w:sz w:val="22"/>
          <w:szCs w:val="22"/>
        </w:rPr>
        <w:t xml:space="preserve">tables and </w:t>
      </w:r>
      <w:r w:rsidRPr="00566301">
        <w:rPr>
          <w:sz w:val="22"/>
          <w:szCs w:val="22"/>
        </w:rPr>
        <w:t>variables used:</w:t>
      </w:r>
    </w:p>
    <w:p w14:paraId="7F52663B" w14:textId="515B8BEE" w:rsidR="00127838" w:rsidRPr="00566301" w:rsidRDefault="00EE3B6E" w:rsidP="00F00104">
      <w:pPr>
        <w:pStyle w:val="ListParagraph"/>
        <w:numPr>
          <w:ilvl w:val="0"/>
          <w:numId w:val="7"/>
        </w:numPr>
        <w:ind w:left="1080"/>
        <w:rPr>
          <w:sz w:val="22"/>
          <w:szCs w:val="22"/>
        </w:rPr>
      </w:pPr>
      <w:r w:rsidRPr="00566301">
        <w:rPr>
          <w:sz w:val="22"/>
          <w:szCs w:val="22"/>
        </w:rPr>
        <w:t>Table B14007</w:t>
      </w:r>
      <w:r w:rsidR="00A7054F" w:rsidRPr="00566301">
        <w:rPr>
          <w:sz w:val="22"/>
          <w:szCs w:val="22"/>
        </w:rPr>
        <w:t>B</w:t>
      </w:r>
      <w:r w:rsidRPr="00566301">
        <w:rPr>
          <w:sz w:val="22"/>
          <w:szCs w:val="22"/>
        </w:rPr>
        <w:t>: School enrollment by Detailed Level of School</w:t>
      </w:r>
      <w:r w:rsidR="00A7054F" w:rsidRPr="00566301">
        <w:rPr>
          <w:sz w:val="22"/>
          <w:szCs w:val="22"/>
        </w:rPr>
        <w:t xml:space="preserve"> for the Population 3 Years and Over (Black or African American Alone)</w:t>
      </w:r>
    </w:p>
    <w:p w14:paraId="784C75E0" w14:textId="4B8BC12B" w:rsidR="002C03AB" w:rsidRPr="00566301" w:rsidRDefault="002D56C4" w:rsidP="00F00104">
      <w:pPr>
        <w:pStyle w:val="ListParagraph"/>
        <w:numPr>
          <w:ilvl w:val="2"/>
          <w:numId w:val="7"/>
        </w:numPr>
        <w:ind w:left="1800"/>
        <w:rPr>
          <w:sz w:val="22"/>
          <w:szCs w:val="22"/>
        </w:rPr>
      </w:pPr>
      <w:r w:rsidRPr="00566301">
        <w:rPr>
          <w:sz w:val="22"/>
          <w:szCs w:val="22"/>
        </w:rPr>
        <w:t>B14007</w:t>
      </w:r>
      <w:r w:rsidR="0066159A" w:rsidRPr="00566301">
        <w:rPr>
          <w:sz w:val="22"/>
          <w:szCs w:val="22"/>
        </w:rPr>
        <w:t>B</w:t>
      </w:r>
      <w:r w:rsidRPr="00566301">
        <w:rPr>
          <w:sz w:val="22"/>
          <w:szCs w:val="22"/>
        </w:rPr>
        <w:t xml:space="preserve">_003: </w:t>
      </w:r>
      <w:r w:rsidR="002C03AB" w:rsidRPr="00566301">
        <w:rPr>
          <w:sz w:val="22"/>
          <w:szCs w:val="22"/>
        </w:rPr>
        <w:t xml:space="preserve">Estimate Total Enrolled in nursery school, preschool </w:t>
      </w:r>
    </w:p>
    <w:p w14:paraId="35398029" w14:textId="7E327BA5" w:rsidR="00AD0075" w:rsidRPr="00566301" w:rsidRDefault="002C03AB" w:rsidP="00F00104">
      <w:pPr>
        <w:pStyle w:val="ListParagraph"/>
        <w:numPr>
          <w:ilvl w:val="0"/>
          <w:numId w:val="7"/>
        </w:numPr>
        <w:ind w:left="1080"/>
        <w:rPr>
          <w:sz w:val="22"/>
          <w:szCs w:val="22"/>
        </w:rPr>
      </w:pPr>
      <w:r w:rsidRPr="00566301">
        <w:rPr>
          <w:sz w:val="22"/>
          <w:szCs w:val="22"/>
        </w:rPr>
        <w:t xml:space="preserve">Table </w:t>
      </w:r>
      <w:r w:rsidR="001D11E2" w:rsidRPr="00566301">
        <w:rPr>
          <w:sz w:val="22"/>
          <w:szCs w:val="22"/>
        </w:rPr>
        <w:t>B01001</w:t>
      </w:r>
      <w:r w:rsidR="00BC37A7" w:rsidRPr="00566301">
        <w:rPr>
          <w:sz w:val="22"/>
          <w:szCs w:val="22"/>
        </w:rPr>
        <w:t>B</w:t>
      </w:r>
      <w:r w:rsidR="00AD0075" w:rsidRPr="00566301">
        <w:rPr>
          <w:sz w:val="22"/>
          <w:szCs w:val="22"/>
        </w:rPr>
        <w:t>: Sex by Age</w:t>
      </w:r>
      <w:r w:rsidR="00AD6A20" w:rsidRPr="00566301">
        <w:rPr>
          <w:sz w:val="22"/>
          <w:szCs w:val="22"/>
        </w:rPr>
        <w:t xml:space="preserve"> (Black or African American Alone)</w:t>
      </w:r>
    </w:p>
    <w:p w14:paraId="6E062D82" w14:textId="4B7E70DA" w:rsidR="000E6628" w:rsidRPr="00566301" w:rsidRDefault="00845AAF" w:rsidP="00F00104">
      <w:pPr>
        <w:pStyle w:val="ListParagraph"/>
        <w:numPr>
          <w:ilvl w:val="2"/>
          <w:numId w:val="7"/>
        </w:numPr>
        <w:ind w:left="1800"/>
        <w:rPr>
          <w:sz w:val="22"/>
          <w:szCs w:val="22"/>
        </w:rPr>
      </w:pPr>
      <w:r w:rsidRPr="00566301">
        <w:rPr>
          <w:sz w:val="22"/>
          <w:szCs w:val="22"/>
        </w:rPr>
        <w:t>B01001B_003</w:t>
      </w:r>
      <w:r w:rsidR="000E6628" w:rsidRPr="00566301">
        <w:rPr>
          <w:sz w:val="22"/>
          <w:szCs w:val="22"/>
        </w:rPr>
        <w:t xml:space="preserve">: Estimate Total Male Under 5 years </w:t>
      </w:r>
    </w:p>
    <w:p w14:paraId="2F4E45E3" w14:textId="6C0C0346" w:rsidR="00C22727" w:rsidRPr="00566301" w:rsidRDefault="000E6628" w:rsidP="00F00104">
      <w:pPr>
        <w:pStyle w:val="ListParagraph"/>
        <w:numPr>
          <w:ilvl w:val="2"/>
          <w:numId w:val="7"/>
        </w:numPr>
        <w:ind w:left="1800"/>
        <w:rPr>
          <w:sz w:val="22"/>
          <w:szCs w:val="22"/>
        </w:rPr>
      </w:pPr>
      <w:r w:rsidRPr="00566301">
        <w:rPr>
          <w:sz w:val="22"/>
          <w:szCs w:val="22"/>
        </w:rPr>
        <w:t xml:space="preserve">B01001B_018: Estimate Total Female Under 5 Years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53B7" w14:textId="77777777" w:rsidR="001146C5" w:rsidRDefault="001146C5" w:rsidP="00621422">
      <w:r>
        <w:separator/>
      </w:r>
    </w:p>
  </w:endnote>
  <w:endnote w:type="continuationSeparator" w:id="0">
    <w:p w14:paraId="7BC0021C" w14:textId="77777777" w:rsidR="001146C5" w:rsidRDefault="001146C5" w:rsidP="00621422">
      <w:r>
        <w:continuationSeparator/>
      </w:r>
    </w:p>
  </w:endnote>
  <w:endnote w:type="continuationNotice" w:id="1">
    <w:p w14:paraId="667AD6A0" w14:textId="77777777" w:rsidR="001146C5" w:rsidRDefault="00114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A6AD" w14:textId="77777777" w:rsidR="001146C5" w:rsidRDefault="001146C5" w:rsidP="00621422">
      <w:r>
        <w:separator/>
      </w:r>
    </w:p>
  </w:footnote>
  <w:footnote w:type="continuationSeparator" w:id="0">
    <w:p w14:paraId="6DA03230" w14:textId="77777777" w:rsidR="001146C5" w:rsidRDefault="001146C5" w:rsidP="00621422">
      <w:r>
        <w:continuationSeparator/>
      </w:r>
    </w:p>
  </w:footnote>
  <w:footnote w:type="continuationNotice" w:id="1">
    <w:p w14:paraId="14E5C62D" w14:textId="77777777" w:rsidR="001146C5" w:rsidRDefault="001146C5"/>
  </w:footnote>
  <w:footnote w:id="2">
    <w:p w14:paraId="352FA008" w14:textId="64793F82" w:rsidR="005F7B35" w:rsidRPr="00405635" w:rsidRDefault="005F7B35" w:rsidP="00405635">
      <w:pPr>
        <w:pStyle w:val="FootnoteText"/>
        <w:ind w:left="720" w:hanging="720"/>
        <w:rPr>
          <w:rFonts w:cstheme="minorHAnsi"/>
        </w:rPr>
      </w:pPr>
      <w:r w:rsidRPr="00405635">
        <w:rPr>
          <w:rStyle w:val="FootnoteReference"/>
          <w:rFonts w:cstheme="minorHAnsi"/>
        </w:rPr>
        <w:footnoteRef/>
      </w:r>
      <w:r w:rsidRPr="00405635">
        <w:rPr>
          <w:rFonts w:cstheme="minorHAnsi"/>
        </w:rPr>
        <w:t xml:space="preserve"> </w:t>
      </w:r>
      <w:r w:rsidR="00161650" w:rsidRPr="00405635">
        <w:rPr>
          <w:rFonts w:cstheme="minorHAnsi"/>
          <w:color w:val="000000"/>
        </w:rPr>
        <w:t>CDC. (2019a, March 20). </w:t>
      </w:r>
      <w:r w:rsidR="00161650" w:rsidRPr="00405635">
        <w:rPr>
          <w:rFonts w:cstheme="minorHAnsi"/>
          <w:i/>
          <w:iCs/>
          <w:color w:val="000000"/>
        </w:rPr>
        <w:t>What Are Childhood Mental Disorders?</w:t>
      </w:r>
      <w:r w:rsidR="00161650" w:rsidRPr="00405635">
        <w:rPr>
          <w:rFonts w:cstheme="minorHAnsi"/>
          <w:color w:val="000000"/>
        </w:rPr>
        <w:t xml:space="preserve"> Centers for Disease Control and Prevention. </w:t>
      </w:r>
      <w:hyperlink r:id="rId1" w:history="1">
        <w:r w:rsidR="00405635" w:rsidRPr="009B5274">
          <w:rPr>
            <w:rStyle w:val="Hyperlink"/>
            <w:rFonts w:cstheme="minorHAnsi"/>
          </w:rPr>
          <w:t>https://www.cdc.gov/childrensmentalhealth/basics.html</w:t>
        </w:r>
      </w:hyperlink>
    </w:p>
  </w:footnote>
  <w:footnote w:id="3">
    <w:p w14:paraId="1372E0F9" w14:textId="20A133FE" w:rsidR="00E4567E" w:rsidRPr="00405635" w:rsidRDefault="00E4567E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>Morrissey, T. (2019). The Effects Of Early Care And Education On Children’s Health. </w:t>
      </w:r>
      <w:r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Health Affairs | Health Policy Brief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hyperlink r:id="rId2" w:history="1">
        <w:r w:rsidR="00586359" w:rsidRPr="00405635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https://doi.org/10.1377/hpb20190325.519221</w:t>
        </w:r>
      </w:hyperlink>
      <w:r w:rsidR="00586359"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4">
    <w:p w14:paraId="4E54E679" w14:textId="5163C4AC" w:rsidR="00B82B45" w:rsidRPr="00405635" w:rsidRDefault="00B82B45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>CDC. (2019b, July 19). </w:t>
      </w:r>
      <w:r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Improving Access to Children’s Mental Health Care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Centers for Disease Control and Prevention. </w:t>
      </w:r>
      <w:hyperlink r:id="rId3" w:history="1">
        <w:r w:rsidR="00586359" w:rsidRPr="00405635">
          <w:rPr>
            <w:rStyle w:val="Hyperlink"/>
            <w:rFonts w:asciiTheme="minorHAnsi" w:hAnsiTheme="minorHAnsi" w:cstheme="minorHAnsi"/>
            <w:sz w:val="20"/>
            <w:szCs w:val="20"/>
          </w:rPr>
          <w:t>https://www.cdc.gov/childrensmentalhealth/access.html</w:t>
        </w:r>
      </w:hyperlink>
      <w:r w:rsidR="00586359"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5">
    <w:p w14:paraId="73192C02" w14:textId="708E2C34" w:rsidR="00C46DBE" w:rsidRPr="00405635" w:rsidRDefault="00C46DBE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>Office of Disease Prevention and Health Promotion. (2021, June 23). </w:t>
      </w:r>
      <w:r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Early Childhood Development and Education | Healthy People 2020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Www.healthypeople.gov. </w:t>
      </w:r>
      <w:hyperlink r:id="rId4" w:history="1">
        <w:r w:rsidR="004D1670" w:rsidRPr="00405635">
          <w:rPr>
            <w:rStyle w:val="Hyperlink"/>
            <w:rFonts w:asciiTheme="minorHAnsi" w:hAnsiTheme="minorHAnsi" w:cstheme="minorHAnsi"/>
            <w:sz w:val="20"/>
            <w:szCs w:val="20"/>
          </w:rPr>
          <w:t>https://www.healthypeople.gov/2020/topics-objectives/topic/social-determinants-health/interventions-resources/early-childhood-development-and-education</w:t>
        </w:r>
      </w:hyperlink>
      <w:r w:rsidR="004D1670"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‌</w:t>
      </w:r>
    </w:p>
  </w:footnote>
  <w:footnote w:id="6">
    <w:p w14:paraId="2DE9F085" w14:textId="6F98319D" w:rsidR="00217109" w:rsidRPr="00405635" w:rsidRDefault="00217109" w:rsidP="00405635">
      <w:pPr>
        <w:pStyle w:val="FootnoteText"/>
        <w:ind w:left="720" w:hanging="720"/>
        <w:rPr>
          <w:rFonts w:cstheme="minorHAnsi"/>
        </w:rPr>
      </w:pPr>
      <w:r w:rsidRPr="00405635">
        <w:rPr>
          <w:rStyle w:val="FootnoteReference"/>
          <w:rFonts w:cstheme="minorHAnsi"/>
        </w:rPr>
        <w:footnoteRef/>
      </w:r>
      <w:r w:rsidRPr="00405635">
        <w:rPr>
          <w:rFonts w:cstheme="minorHAnsi"/>
        </w:rPr>
        <w:t xml:space="preserve"> </w:t>
      </w:r>
      <w:r w:rsidRPr="00405635">
        <w:rPr>
          <w:rFonts w:eastAsia="Times New Roman" w:cstheme="minorHAnsi"/>
          <w:color w:val="000000"/>
        </w:rPr>
        <w:t xml:space="preserve">Yoshikawa, H., Weiland, C., Brooks-Gunn, J., </w:t>
      </w:r>
      <w:proofErr w:type="spellStart"/>
      <w:r w:rsidRPr="00405635">
        <w:rPr>
          <w:rFonts w:eastAsia="Times New Roman" w:cstheme="minorHAnsi"/>
          <w:color w:val="000000"/>
        </w:rPr>
        <w:t>Burchinal</w:t>
      </w:r>
      <w:proofErr w:type="spellEnd"/>
      <w:r w:rsidRPr="00405635">
        <w:rPr>
          <w:rFonts w:eastAsia="Times New Roman" w:cstheme="minorHAnsi"/>
          <w:color w:val="000000"/>
        </w:rPr>
        <w:t xml:space="preserve">, M., Espinosa, L., Gormley, W., Ludwig, J., Magnuson, K., Phillips, D., &amp; </w:t>
      </w:r>
      <w:proofErr w:type="spellStart"/>
      <w:r w:rsidRPr="00405635">
        <w:rPr>
          <w:rFonts w:eastAsia="Times New Roman" w:cstheme="minorHAnsi"/>
          <w:color w:val="000000"/>
        </w:rPr>
        <w:t>Zaslow</w:t>
      </w:r>
      <w:proofErr w:type="spellEnd"/>
      <w:r w:rsidRPr="00405635">
        <w:rPr>
          <w:rFonts w:eastAsia="Times New Roman" w:cstheme="minorHAnsi"/>
          <w:color w:val="000000"/>
        </w:rPr>
        <w:t>, M. (2013). </w:t>
      </w:r>
      <w:r w:rsidRPr="00405635">
        <w:rPr>
          <w:rFonts w:eastAsia="Times New Roman" w:cstheme="minorHAnsi"/>
          <w:i/>
          <w:iCs/>
          <w:color w:val="000000"/>
        </w:rPr>
        <w:t>Investing in Our Future: The Evidence Base on Preschool Education</w:t>
      </w:r>
      <w:r w:rsidRPr="00405635">
        <w:rPr>
          <w:rFonts w:eastAsia="Times New Roman" w:cstheme="minorHAnsi"/>
          <w:color w:val="000000"/>
        </w:rPr>
        <w:t xml:space="preserve">. </w:t>
      </w:r>
      <w:hyperlink r:id="rId5" w:history="1">
        <w:r w:rsidRPr="00405635">
          <w:rPr>
            <w:rStyle w:val="Hyperlink"/>
            <w:rFonts w:eastAsia="Times New Roman" w:cstheme="minorHAnsi"/>
          </w:rPr>
          <w:t>https://www.srcd.org/sites/default/files/file-attachments/mb_2013_10_16_investing_in_children.pdf</w:t>
        </w:r>
      </w:hyperlink>
    </w:p>
  </w:footnote>
  <w:footnote w:id="7">
    <w:p w14:paraId="721D6511" w14:textId="65AA49EF" w:rsidR="009475DB" w:rsidRPr="00405635" w:rsidRDefault="009475DB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Friedman-Krauss, A., Barnett, W., &amp; </w:t>
      </w:r>
      <w:proofErr w:type="spellStart"/>
      <w:r w:rsidRPr="00405635">
        <w:rPr>
          <w:rFonts w:asciiTheme="minorHAnsi" w:hAnsiTheme="minorHAnsi" w:cstheme="minorHAnsi"/>
          <w:color w:val="000000"/>
          <w:sz w:val="20"/>
          <w:szCs w:val="20"/>
        </w:rPr>
        <w:t>Nores</w:t>
      </w:r>
      <w:proofErr w:type="spellEnd"/>
      <w:r w:rsidRPr="00405635">
        <w:rPr>
          <w:rFonts w:asciiTheme="minorHAnsi" w:hAnsiTheme="minorHAnsi" w:cstheme="minorHAnsi"/>
          <w:color w:val="000000"/>
          <w:sz w:val="20"/>
          <w:szCs w:val="20"/>
        </w:rPr>
        <w:t>, M. (2016). How Much Can High-Quality Universal Pre-K Reduce Achievement Gaps? In </w:t>
      </w:r>
      <w:r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Center for American Progress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hyperlink r:id="rId6" w:history="1">
        <w:r w:rsidR="00586359" w:rsidRPr="00405635">
          <w:rPr>
            <w:rStyle w:val="Hyperlink"/>
            <w:rFonts w:asciiTheme="minorHAnsi" w:hAnsiTheme="minorHAnsi" w:cstheme="minorHAnsi"/>
            <w:sz w:val="20"/>
            <w:szCs w:val="20"/>
          </w:rPr>
          <w:t>https://cdn.americanprogress.org/wp-content/uploads/2016/04/01115656/NIEER-AchievementGaps-report.pdf</w:t>
        </w:r>
      </w:hyperlink>
      <w:r w:rsidR="00586359"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8">
    <w:p w14:paraId="2FD5D2F7" w14:textId="77777777" w:rsidR="004C1BAD" w:rsidRPr="00E4567E" w:rsidRDefault="004C1BAD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color w:val="00000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>CDC. (2021, April 23). </w:t>
      </w:r>
      <w:r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Mental health of children and parents —a strong connection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Centers for Disease Control and Prevention. </w:t>
      </w:r>
      <w:hyperlink r:id="rId7" w:history="1">
        <w:r w:rsidRPr="00405635">
          <w:rPr>
            <w:rStyle w:val="Hyperlink"/>
            <w:rFonts w:asciiTheme="minorHAnsi" w:hAnsiTheme="minorHAnsi" w:cstheme="minorHAnsi"/>
            <w:sz w:val="20"/>
            <w:szCs w:val="20"/>
          </w:rPr>
          <w:t>https://www.cdc.gov/childrensmentalhealth/features/mental-health-children-and-parents.html</w:t>
        </w:r>
      </w:hyperlink>
      <w:r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</w:p>
  </w:footnote>
  <w:footnote w:id="9">
    <w:p w14:paraId="25F9CBAD" w14:textId="0EBE78DE" w:rsidR="00351FDA" w:rsidRPr="00405635" w:rsidRDefault="00351FDA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>National Center for Education Statistics. (2021, May). </w:t>
      </w:r>
      <w:r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COE - Enrollment Rates of Young Children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Nces.ed.gov. </w:t>
      </w:r>
      <w:hyperlink r:id="rId8" w:history="1">
        <w:r w:rsidR="00405635" w:rsidRPr="009B5274">
          <w:rPr>
            <w:rStyle w:val="Hyperlink"/>
            <w:rFonts w:asciiTheme="minorHAnsi" w:hAnsiTheme="minorHAnsi" w:cstheme="minorHAnsi"/>
            <w:sz w:val="20"/>
            <w:szCs w:val="20"/>
          </w:rPr>
          <w:t>https://nces.ed.gov/programs/coe/indicator/cfa</w:t>
        </w:r>
      </w:hyperlink>
      <w:r w:rsidR="00586359"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10">
    <w:p w14:paraId="4CF0C741" w14:textId="77777777" w:rsidR="005E602A" w:rsidRPr="00405635" w:rsidRDefault="005E602A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>Creamer, J. (2020, September 15). </w:t>
      </w:r>
      <w:r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Poverty Rates for Blacks and Hispanics Reached Historic Lows in 2019</w:t>
      </w:r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The United States Census Bureau; The United States Census Bureau. </w:t>
      </w:r>
      <w:hyperlink r:id="rId9" w:history="1">
        <w:r w:rsidRPr="00405635">
          <w:rPr>
            <w:rStyle w:val="Hyperlink"/>
            <w:rFonts w:asciiTheme="minorHAnsi" w:hAnsiTheme="minorHAnsi" w:cstheme="minorHAnsi"/>
            <w:sz w:val="20"/>
            <w:szCs w:val="20"/>
          </w:rPr>
          <w:t>https://www.census.gov/library/stories/2020/09/poverty-rates-for-blacks-and-hispanics-reached-historic-lows-in-2019.html</w:t>
        </w:r>
      </w:hyperlink>
      <w:r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11">
    <w:p w14:paraId="1BC64AE4" w14:textId="706E8532" w:rsidR="00351FDA" w:rsidRPr="007E038E" w:rsidRDefault="00351FDA" w:rsidP="0040563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0563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05635">
        <w:rPr>
          <w:rFonts w:asciiTheme="minorHAnsi" w:hAnsiTheme="minorHAnsi" w:cstheme="minorHAnsi"/>
          <w:sz w:val="20"/>
          <w:szCs w:val="20"/>
        </w:rPr>
        <w:t xml:space="preserve"> </w:t>
      </w:r>
      <w:r w:rsidR="00622318" w:rsidRPr="00405635">
        <w:rPr>
          <w:rFonts w:asciiTheme="minorHAnsi" w:hAnsiTheme="minorHAnsi" w:cstheme="minorHAnsi"/>
          <w:color w:val="000000"/>
          <w:sz w:val="20"/>
          <w:szCs w:val="20"/>
        </w:rPr>
        <w:t>Friedman-Krauss, A., &amp; Barnett, S. (2020). </w:t>
      </w:r>
      <w:r w:rsidR="00622318" w:rsidRPr="00405635">
        <w:rPr>
          <w:rFonts w:asciiTheme="minorHAnsi" w:hAnsiTheme="minorHAnsi" w:cstheme="minorHAnsi"/>
          <w:i/>
          <w:iCs/>
          <w:color w:val="000000"/>
          <w:sz w:val="20"/>
          <w:szCs w:val="20"/>
        </w:rPr>
        <w:t>Access to High-Quality Early Education and Racial Equity</w:t>
      </w:r>
      <w:r w:rsidR="00622318" w:rsidRPr="0040563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hyperlink r:id="rId10" w:history="1">
        <w:r w:rsidR="00405635" w:rsidRPr="009B5274">
          <w:rPr>
            <w:rStyle w:val="Hyperlink"/>
            <w:rFonts w:asciiTheme="minorHAnsi" w:hAnsiTheme="minorHAnsi" w:cstheme="minorHAnsi"/>
            <w:sz w:val="20"/>
            <w:szCs w:val="20"/>
          </w:rPr>
          <w:t>https://nieer.org/wp-content/uploads/2021/02/Special-Report-Access-to-High-Quality-Early-Education-and-Racial-Equity.pdf</w:t>
        </w:r>
      </w:hyperlink>
      <w:r w:rsidR="00586359" w:rsidRPr="007E038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413E"/>
    <w:multiLevelType w:val="hybridMultilevel"/>
    <w:tmpl w:val="552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A0664"/>
    <w:multiLevelType w:val="hybridMultilevel"/>
    <w:tmpl w:val="4E381B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765FCC"/>
    <w:multiLevelType w:val="hybridMultilevel"/>
    <w:tmpl w:val="5290BB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2E0F92"/>
    <w:multiLevelType w:val="hybridMultilevel"/>
    <w:tmpl w:val="E88E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8738E"/>
    <w:multiLevelType w:val="hybridMultilevel"/>
    <w:tmpl w:val="4ED0D23C"/>
    <w:lvl w:ilvl="0" w:tplc="4C0E04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496C04"/>
    <w:multiLevelType w:val="hybridMultilevel"/>
    <w:tmpl w:val="9ABE1118"/>
    <w:lvl w:ilvl="0" w:tplc="3B78E0E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07C32"/>
    <w:multiLevelType w:val="hybridMultilevel"/>
    <w:tmpl w:val="824A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3"/>
  </w:num>
  <w:num w:numId="5">
    <w:abstractNumId w:val="8"/>
  </w:num>
  <w:num w:numId="6">
    <w:abstractNumId w:val="0"/>
  </w:num>
  <w:num w:numId="7">
    <w:abstractNumId w:val="14"/>
  </w:num>
  <w:num w:numId="8">
    <w:abstractNumId w:val="1"/>
  </w:num>
  <w:num w:numId="9">
    <w:abstractNumId w:val="19"/>
  </w:num>
  <w:num w:numId="10">
    <w:abstractNumId w:val="5"/>
  </w:num>
  <w:num w:numId="11">
    <w:abstractNumId w:val="20"/>
  </w:num>
  <w:num w:numId="12">
    <w:abstractNumId w:val="2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8"/>
  </w:num>
  <w:num w:numId="18">
    <w:abstractNumId w:val="12"/>
  </w:num>
  <w:num w:numId="19">
    <w:abstractNumId w:val="17"/>
  </w:num>
  <w:num w:numId="20">
    <w:abstractNumId w:val="4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1F2D"/>
    <w:rsid w:val="00005E13"/>
    <w:rsid w:val="00006D15"/>
    <w:rsid w:val="00010103"/>
    <w:rsid w:val="00010A16"/>
    <w:rsid w:val="00020307"/>
    <w:rsid w:val="000209F9"/>
    <w:rsid w:val="00021F17"/>
    <w:rsid w:val="00023D11"/>
    <w:rsid w:val="00037B3D"/>
    <w:rsid w:val="0004584F"/>
    <w:rsid w:val="00045AD2"/>
    <w:rsid w:val="00046532"/>
    <w:rsid w:val="00063279"/>
    <w:rsid w:val="00065C15"/>
    <w:rsid w:val="00073ECC"/>
    <w:rsid w:val="00077B78"/>
    <w:rsid w:val="00082B14"/>
    <w:rsid w:val="00082C3D"/>
    <w:rsid w:val="0008657A"/>
    <w:rsid w:val="000905B5"/>
    <w:rsid w:val="00094B42"/>
    <w:rsid w:val="000967E1"/>
    <w:rsid w:val="000A30B1"/>
    <w:rsid w:val="000A47F6"/>
    <w:rsid w:val="000B0048"/>
    <w:rsid w:val="000B2807"/>
    <w:rsid w:val="000B2D9B"/>
    <w:rsid w:val="000B5359"/>
    <w:rsid w:val="000C5099"/>
    <w:rsid w:val="000C6C6D"/>
    <w:rsid w:val="000D0345"/>
    <w:rsid w:val="000D5C93"/>
    <w:rsid w:val="000E0E74"/>
    <w:rsid w:val="000E1908"/>
    <w:rsid w:val="000E3B83"/>
    <w:rsid w:val="000E6628"/>
    <w:rsid w:val="000F2278"/>
    <w:rsid w:val="000F4B0B"/>
    <w:rsid w:val="000F64EA"/>
    <w:rsid w:val="000F7B3A"/>
    <w:rsid w:val="0010070C"/>
    <w:rsid w:val="00100979"/>
    <w:rsid w:val="00106957"/>
    <w:rsid w:val="001122EB"/>
    <w:rsid w:val="0011283B"/>
    <w:rsid w:val="0011337B"/>
    <w:rsid w:val="001146C5"/>
    <w:rsid w:val="0011513D"/>
    <w:rsid w:val="00115761"/>
    <w:rsid w:val="00120C5A"/>
    <w:rsid w:val="00127838"/>
    <w:rsid w:val="00134B51"/>
    <w:rsid w:val="00135370"/>
    <w:rsid w:val="00143CCB"/>
    <w:rsid w:val="00144D3F"/>
    <w:rsid w:val="00151BAA"/>
    <w:rsid w:val="00161650"/>
    <w:rsid w:val="0016371F"/>
    <w:rsid w:val="00171503"/>
    <w:rsid w:val="00172806"/>
    <w:rsid w:val="00180268"/>
    <w:rsid w:val="00181F4B"/>
    <w:rsid w:val="00182440"/>
    <w:rsid w:val="001858A6"/>
    <w:rsid w:val="00185A74"/>
    <w:rsid w:val="00190959"/>
    <w:rsid w:val="001959A2"/>
    <w:rsid w:val="00196195"/>
    <w:rsid w:val="00197E69"/>
    <w:rsid w:val="001A6ADF"/>
    <w:rsid w:val="001B08E1"/>
    <w:rsid w:val="001B437D"/>
    <w:rsid w:val="001B516D"/>
    <w:rsid w:val="001B5F77"/>
    <w:rsid w:val="001B6722"/>
    <w:rsid w:val="001C2051"/>
    <w:rsid w:val="001D11E2"/>
    <w:rsid w:val="001D62A1"/>
    <w:rsid w:val="001E0AF5"/>
    <w:rsid w:val="001E3F58"/>
    <w:rsid w:val="001E561B"/>
    <w:rsid w:val="001F3405"/>
    <w:rsid w:val="001F7828"/>
    <w:rsid w:val="00205EAC"/>
    <w:rsid w:val="002156F1"/>
    <w:rsid w:val="00216B86"/>
    <w:rsid w:val="00217109"/>
    <w:rsid w:val="002258B1"/>
    <w:rsid w:val="00231188"/>
    <w:rsid w:val="00246315"/>
    <w:rsid w:val="00247C44"/>
    <w:rsid w:val="002553C6"/>
    <w:rsid w:val="00261B59"/>
    <w:rsid w:val="002649BE"/>
    <w:rsid w:val="00267561"/>
    <w:rsid w:val="00270F6B"/>
    <w:rsid w:val="00276033"/>
    <w:rsid w:val="002800A2"/>
    <w:rsid w:val="00282585"/>
    <w:rsid w:val="002B2471"/>
    <w:rsid w:val="002B6F8E"/>
    <w:rsid w:val="002B7DB9"/>
    <w:rsid w:val="002C03AB"/>
    <w:rsid w:val="002C2921"/>
    <w:rsid w:val="002D31E1"/>
    <w:rsid w:val="002D56C4"/>
    <w:rsid w:val="002E08E3"/>
    <w:rsid w:val="002E3252"/>
    <w:rsid w:val="002E7A6A"/>
    <w:rsid w:val="00300B3F"/>
    <w:rsid w:val="00302737"/>
    <w:rsid w:val="00303B34"/>
    <w:rsid w:val="00306EC3"/>
    <w:rsid w:val="00313870"/>
    <w:rsid w:val="00315B13"/>
    <w:rsid w:val="003171DF"/>
    <w:rsid w:val="00317440"/>
    <w:rsid w:val="003257B7"/>
    <w:rsid w:val="00326F71"/>
    <w:rsid w:val="003427DF"/>
    <w:rsid w:val="00351FDA"/>
    <w:rsid w:val="00355655"/>
    <w:rsid w:val="003628E7"/>
    <w:rsid w:val="00367A9E"/>
    <w:rsid w:val="0037664D"/>
    <w:rsid w:val="00381FAB"/>
    <w:rsid w:val="0039740F"/>
    <w:rsid w:val="003A178B"/>
    <w:rsid w:val="003A2AA6"/>
    <w:rsid w:val="003B413D"/>
    <w:rsid w:val="003C25D7"/>
    <w:rsid w:val="003C7202"/>
    <w:rsid w:val="003C7FF1"/>
    <w:rsid w:val="003D1192"/>
    <w:rsid w:val="003D19F4"/>
    <w:rsid w:val="003E542E"/>
    <w:rsid w:val="003E7519"/>
    <w:rsid w:val="003F50AD"/>
    <w:rsid w:val="004026A7"/>
    <w:rsid w:val="00405635"/>
    <w:rsid w:val="004100DF"/>
    <w:rsid w:val="00412D30"/>
    <w:rsid w:val="004133B2"/>
    <w:rsid w:val="00415F52"/>
    <w:rsid w:val="00433763"/>
    <w:rsid w:val="00433CEA"/>
    <w:rsid w:val="0043612D"/>
    <w:rsid w:val="00442E39"/>
    <w:rsid w:val="00447245"/>
    <w:rsid w:val="004473F1"/>
    <w:rsid w:val="004559BB"/>
    <w:rsid w:val="00461E21"/>
    <w:rsid w:val="00467E71"/>
    <w:rsid w:val="00470886"/>
    <w:rsid w:val="004820B3"/>
    <w:rsid w:val="00485C3F"/>
    <w:rsid w:val="00485CAB"/>
    <w:rsid w:val="004A00CB"/>
    <w:rsid w:val="004A3A6F"/>
    <w:rsid w:val="004A7D20"/>
    <w:rsid w:val="004B4D8C"/>
    <w:rsid w:val="004B5EE7"/>
    <w:rsid w:val="004B6329"/>
    <w:rsid w:val="004C1BAD"/>
    <w:rsid w:val="004C1E94"/>
    <w:rsid w:val="004D1670"/>
    <w:rsid w:val="004E157D"/>
    <w:rsid w:val="004E1DEC"/>
    <w:rsid w:val="004F5604"/>
    <w:rsid w:val="004F6EFE"/>
    <w:rsid w:val="0050328C"/>
    <w:rsid w:val="00504289"/>
    <w:rsid w:val="00523739"/>
    <w:rsid w:val="00526C0A"/>
    <w:rsid w:val="00533A26"/>
    <w:rsid w:val="00537B33"/>
    <w:rsid w:val="00541474"/>
    <w:rsid w:val="00541485"/>
    <w:rsid w:val="00541848"/>
    <w:rsid w:val="00541B1C"/>
    <w:rsid w:val="005429A8"/>
    <w:rsid w:val="00546906"/>
    <w:rsid w:val="00547A78"/>
    <w:rsid w:val="00550602"/>
    <w:rsid w:val="005605CA"/>
    <w:rsid w:val="00566301"/>
    <w:rsid w:val="005761E7"/>
    <w:rsid w:val="005841B2"/>
    <w:rsid w:val="00586359"/>
    <w:rsid w:val="005A5918"/>
    <w:rsid w:val="005A6DA1"/>
    <w:rsid w:val="005A7B0C"/>
    <w:rsid w:val="005D31BD"/>
    <w:rsid w:val="005E2333"/>
    <w:rsid w:val="005E5061"/>
    <w:rsid w:val="005E602A"/>
    <w:rsid w:val="005F7B35"/>
    <w:rsid w:val="006007DB"/>
    <w:rsid w:val="00601594"/>
    <w:rsid w:val="0060351E"/>
    <w:rsid w:val="0061192A"/>
    <w:rsid w:val="00615CCF"/>
    <w:rsid w:val="00621422"/>
    <w:rsid w:val="00621B6C"/>
    <w:rsid w:val="00622318"/>
    <w:rsid w:val="006325E2"/>
    <w:rsid w:val="00636619"/>
    <w:rsid w:val="00637134"/>
    <w:rsid w:val="006411AF"/>
    <w:rsid w:val="0064167E"/>
    <w:rsid w:val="006423F3"/>
    <w:rsid w:val="00642B49"/>
    <w:rsid w:val="00657392"/>
    <w:rsid w:val="00660209"/>
    <w:rsid w:val="00660E1B"/>
    <w:rsid w:val="00660F91"/>
    <w:rsid w:val="0066159A"/>
    <w:rsid w:val="00662578"/>
    <w:rsid w:val="00662D18"/>
    <w:rsid w:val="00674B88"/>
    <w:rsid w:val="0069392C"/>
    <w:rsid w:val="00694C94"/>
    <w:rsid w:val="006967EE"/>
    <w:rsid w:val="0069715C"/>
    <w:rsid w:val="006B06E3"/>
    <w:rsid w:val="006B19EB"/>
    <w:rsid w:val="006B5318"/>
    <w:rsid w:val="006B5BBC"/>
    <w:rsid w:val="006C2E4E"/>
    <w:rsid w:val="006E1804"/>
    <w:rsid w:val="006E19F6"/>
    <w:rsid w:val="006E1DC6"/>
    <w:rsid w:val="006F6463"/>
    <w:rsid w:val="0070276E"/>
    <w:rsid w:val="00706879"/>
    <w:rsid w:val="0070795D"/>
    <w:rsid w:val="007164C3"/>
    <w:rsid w:val="00717E59"/>
    <w:rsid w:val="00723320"/>
    <w:rsid w:val="007317F0"/>
    <w:rsid w:val="00743D2C"/>
    <w:rsid w:val="00744F96"/>
    <w:rsid w:val="0074668E"/>
    <w:rsid w:val="00746B3D"/>
    <w:rsid w:val="0076145F"/>
    <w:rsid w:val="0076200B"/>
    <w:rsid w:val="007711F8"/>
    <w:rsid w:val="00771205"/>
    <w:rsid w:val="00771663"/>
    <w:rsid w:val="007721BF"/>
    <w:rsid w:val="00772F62"/>
    <w:rsid w:val="00773380"/>
    <w:rsid w:val="00774EC9"/>
    <w:rsid w:val="00777151"/>
    <w:rsid w:val="007823BC"/>
    <w:rsid w:val="00784474"/>
    <w:rsid w:val="00786B02"/>
    <w:rsid w:val="007A0974"/>
    <w:rsid w:val="007A0B4F"/>
    <w:rsid w:val="007A0C81"/>
    <w:rsid w:val="007A27EE"/>
    <w:rsid w:val="007B2454"/>
    <w:rsid w:val="007C5A29"/>
    <w:rsid w:val="007D09A4"/>
    <w:rsid w:val="007D0E9F"/>
    <w:rsid w:val="007D1A7D"/>
    <w:rsid w:val="007D1BB3"/>
    <w:rsid w:val="007D28AA"/>
    <w:rsid w:val="007E038E"/>
    <w:rsid w:val="007E3F56"/>
    <w:rsid w:val="007E65F2"/>
    <w:rsid w:val="00801F39"/>
    <w:rsid w:val="00805B75"/>
    <w:rsid w:val="0081035A"/>
    <w:rsid w:val="00811BE1"/>
    <w:rsid w:val="008277ED"/>
    <w:rsid w:val="00834819"/>
    <w:rsid w:val="00834A83"/>
    <w:rsid w:val="00837E17"/>
    <w:rsid w:val="00840C2B"/>
    <w:rsid w:val="00841C80"/>
    <w:rsid w:val="00841D17"/>
    <w:rsid w:val="00845AAF"/>
    <w:rsid w:val="008629DF"/>
    <w:rsid w:val="0087007A"/>
    <w:rsid w:val="00877456"/>
    <w:rsid w:val="008B110E"/>
    <w:rsid w:val="008C0197"/>
    <w:rsid w:val="008C0873"/>
    <w:rsid w:val="008C7311"/>
    <w:rsid w:val="008D3843"/>
    <w:rsid w:val="008E3064"/>
    <w:rsid w:val="008E5849"/>
    <w:rsid w:val="008E6E54"/>
    <w:rsid w:val="008E711E"/>
    <w:rsid w:val="008F2851"/>
    <w:rsid w:val="008F6F95"/>
    <w:rsid w:val="009014F7"/>
    <w:rsid w:val="00903DD1"/>
    <w:rsid w:val="00910750"/>
    <w:rsid w:val="00922ABB"/>
    <w:rsid w:val="00922CDC"/>
    <w:rsid w:val="00923B71"/>
    <w:rsid w:val="009245F3"/>
    <w:rsid w:val="00926E1C"/>
    <w:rsid w:val="00930000"/>
    <w:rsid w:val="00932ACA"/>
    <w:rsid w:val="00933EAF"/>
    <w:rsid w:val="009372D5"/>
    <w:rsid w:val="00937FE7"/>
    <w:rsid w:val="00945443"/>
    <w:rsid w:val="0094721C"/>
    <w:rsid w:val="009475DB"/>
    <w:rsid w:val="009502FE"/>
    <w:rsid w:val="009547BB"/>
    <w:rsid w:val="009601A6"/>
    <w:rsid w:val="00967CE3"/>
    <w:rsid w:val="0097094C"/>
    <w:rsid w:val="00972D9F"/>
    <w:rsid w:val="009741AD"/>
    <w:rsid w:val="009817C8"/>
    <w:rsid w:val="00981CD5"/>
    <w:rsid w:val="00983092"/>
    <w:rsid w:val="00991167"/>
    <w:rsid w:val="00995C95"/>
    <w:rsid w:val="00996D60"/>
    <w:rsid w:val="009A4D1D"/>
    <w:rsid w:val="009B059E"/>
    <w:rsid w:val="009B2C63"/>
    <w:rsid w:val="009B7600"/>
    <w:rsid w:val="009C38C4"/>
    <w:rsid w:val="009E56D4"/>
    <w:rsid w:val="009F086C"/>
    <w:rsid w:val="00A16408"/>
    <w:rsid w:val="00A2566F"/>
    <w:rsid w:val="00A30FBC"/>
    <w:rsid w:val="00A31860"/>
    <w:rsid w:val="00A31EB4"/>
    <w:rsid w:val="00A34BBA"/>
    <w:rsid w:val="00A37BF0"/>
    <w:rsid w:val="00A4254C"/>
    <w:rsid w:val="00A431F7"/>
    <w:rsid w:val="00A44600"/>
    <w:rsid w:val="00A46484"/>
    <w:rsid w:val="00A64181"/>
    <w:rsid w:val="00A670C0"/>
    <w:rsid w:val="00A7054F"/>
    <w:rsid w:val="00A73104"/>
    <w:rsid w:val="00A75AB7"/>
    <w:rsid w:val="00A85E6C"/>
    <w:rsid w:val="00A96381"/>
    <w:rsid w:val="00AA30DA"/>
    <w:rsid w:val="00AA5AB9"/>
    <w:rsid w:val="00AB1AD6"/>
    <w:rsid w:val="00AB50F2"/>
    <w:rsid w:val="00AB5702"/>
    <w:rsid w:val="00AC1DC2"/>
    <w:rsid w:val="00AC3DA4"/>
    <w:rsid w:val="00AD0075"/>
    <w:rsid w:val="00AD1C73"/>
    <w:rsid w:val="00AD6A20"/>
    <w:rsid w:val="00AD7F56"/>
    <w:rsid w:val="00AE261C"/>
    <w:rsid w:val="00AE530A"/>
    <w:rsid w:val="00AE7387"/>
    <w:rsid w:val="00AF01CB"/>
    <w:rsid w:val="00B01400"/>
    <w:rsid w:val="00B04F87"/>
    <w:rsid w:val="00B06A6A"/>
    <w:rsid w:val="00B06E73"/>
    <w:rsid w:val="00B105B2"/>
    <w:rsid w:val="00B108C1"/>
    <w:rsid w:val="00B14C26"/>
    <w:rsid w:val="00B21683"/>
    <w:rsid w:val="00B25799"/>
    <w:rsid w:val="00B30B0C"/>
    <w:rsid w:val="00B37D38"/>
    <w:rsid w:val="00B4758F"/>
    <w:rsid w:val="00B47EFE"/>
    <w:rsid w:val="00B5263C"/>
    <w:rsid w:val="00B6051C"/>
    <w:rsid w:val="00B67A16"/>
    <w:rsid w:val="00B717D5"/>
    <w:rsid w:val="00B71931"/>
    <w:rsid w:val="00B747A6"/>
    <w:rsid w:val="00B77980"/>
    <w:rsid w:val="00B82B45"/>
    <w:rsid w:val="00B93EF2"/>
    <w:rsid w:val="00B94B1B"/>
    <w:rsid w:val="00BA0AFB"/>
    <w:rsid w:val="00BA13CF"/>
    <w:rsid w:val="00BB551D"/>
    <w:rsid w:val="00BB5E5F"/>
    <w:rsid w:val="00BB6676"/>
    <w:rsid w:val="00BB77CA"/>
    <w:rsid w:val="00BC37A7"/>
    <w:rsid w:val="00BC519B"/>
    <w:rsid w:val="00BD21F5"/>
    <w:rsid w:val="00BD5612"/>
    <w:rsid w:val="00BE20A4"/>
    <w:rsid w:val="00BF0C38"/>
    <w:rsid w:val="00BF135F"/>
    <w:rsid w:val="00BF33A4"/>
    <w:rsid w:val="00BF3CD2"/>
    <w:rsid w:val="00C0726C"/>
    <w:rsid w:val="00C11967"/>
    <w:rsid w:val="00C12D8E"/>
    <w:rsid w:val="00C15520"/>
    <w:rsid w:val="00C22727"/>
    <w:rsid w:val="00C232A0"/>
    <w:rsid w:val="00C24A7F"/>
    <w:rsid w:val="00C260B4"/>
    <w:rsid w:val="00C4033F"/>
    <w:rsid w:val="00C46CF8"/>
    <w:rsid w:val="00C46DBE"/>
    <w:rsid w:val="00C63158"/>
    <w:rsid w:val="00C65677"/>
    <w:rsid w:val="00C660C4"/>
    <w:rsid w:val="00C671BE"/>
    <w:rsid w:val="00C674A9"/>
    <w:rsid w:val="00C717D4"/>
    <w:rsid w:val="00C72123"/>
    <w:rsid w:val="00C7343D"/>
    <w:rsid w:val="00C755D7"/>
    <w:rsid w:val="00C8203C"/>
    <w:rsid w:val="00CA16BE"/>
    <w:rsid w:val="00CA362A"/>
    <w:rsid w:val="00CA5E51"/>
    <w:rsid w:val="00CA62CB"/>
    <w:rsid w:val="00CC2743"/>
    <w:rsid w:val="00CC3879"/>
    <w:rsid w:val="00CC5E41"/>
    <w:rsid w:val="00CC6FD7"/>
    <w:rsid w:val="00CE1BB6"/>
    <w:rsid w:val="00CE51E4"/>
    <w:rsid w:val="00CE5E12"/>
    <w:rsid w:val="00CF3CCE"/>
    <w:rsid w:val="00D04686"/>
    <w:rsid w:val="00D07D4C"/>
    <w:rsid w:val="00D253E2"/>
    <w:rsid w:val="00D268F7"/>
    <w:rsid w:val="00D337CE"/>
    <w:rsid w:val="00D37602"/>
    <w:rsid w:val="00D4001E"/>
    <w:rsid w:val="00D44CAC"/>
    <w:rsid w:val="00D45380"/>
    <w:rsid w:val="00D5034C"/>
    <w:rsid w:val="00D557A5"/>
    <w:rsid w:val="00D575A2"/>
    <w:rsid w:val="00D73B5B"/>
    <w:rsid w:val="00D80A44"/>
    <w:rsid w:val="00D818B0"/>
    <w:rsid w:val="00D85C3D"/>
    <w:rsid w:val="00D90E4E"/>
    <w:rsid w:val="00D90F41"/>
    <w:rsid w:val="00D91112"/>
    <w:rsid w:val="00DA16C3"/>
    <w:rsid w:val="00DB2437"/>
    <w:rsid w:val="00DB3FAA"/>
    <w:rsid w:val="00DC487E"/>
    <w:rsid w:val="00DD478B"/>
    <w:rsid w:val="00DE74FC"/>
    <w:rsid w:val="00DF0361"/>
    <w:rsid w:val="00DF1559"/>
    <w:rsid w:val="00DF1B70"/>
    <w:rsid w:val="00DF413C"/>
    <w:rsid w:val="00E03DBF"/>
    <w:rsid w:val="00E06ABC"/>
    <w:rsid w:val="00E21A26"/>
    <w:rsid w:val="00E225B7"/>
    <w:rsid w:val="00E25B4C"/>
    <w:rsid w:val="00E3090D"/>
    <w:rsid w:val="00E34396"/>
    <w:rsid w:val="00E412E3"/>
    <w:rsid w:val="00E41BD3"/>
    <w:rsid w:val="00E44644"/>
    <w:rsid w:val="00E4567E"/>
    <w:rsid w:val="00E50AE2"/>
    <w:rsid w:val="00E51333"/>
    <w:rsid w:val="00E55355"/>
    <w:rsid w:val="00E56327"/>
    <w:rsid w:val="00E5732C"/>
    <w:rsid w:val="00E675E3"/>
    <w:rsid w:val="00E7035E"/>
    <w:rsid w:val="00E70D5B"/>
    <w:rsid w:val="00E72D3D"/>
    <w:rsid w:val="00E73B30"/>
    <w:rsid w:val="00E775B6"/>
    <w:rsid w:val="00E91E47"/>
    <w:rsid w:val="00EA3BA9"/>
    <w:rsid w:val="00EA3FE4"/>
    <w:rsid w:val="00EA6868"/>
    <w:rsid w:val="00EB2703"/>
    <w:rsid w:val="00EB272F"/>
    <w:rsid w:val="00EC4349"/>
    <w:rsid w:val="00EC670E"/>
    <w:rsid w:val="00ED3868"/>
    <w:rsid w:val="00ED5DD3"/>
    <w:rsid w:val="00ED6351"/>
    <w:rsid w:val="00ED7773"/>
    <w:rsid w:val="00EE3B6E"/>
    <w:rsid w:val="00EE428E"/>
    <w:rsid w:val="00EE5730"/>
    <w:rsid w:val="00EF529D"/>
    <w:rsid w:val="00EF5F1E"/>
    <w:rsid w:val="00F00104"/>
    <w:rsid w:val="00F100A7"/>
    <w:rsid w:val="00F2109A"/>
    <w:rsid w:val="00F24874"/>
    <w:rsid w:val="00F2637A"/>
    <w:rsid w:val="00F34EED"/>
    <w:rsid w:val="00F35947"/>
    <w:rsid w:val="00F36473"/>
    <w:rsid w:val="00F376AE"/>
    <w:rsid w:val="00F43C8F"/>
    <w:rsid w:val="00F56E45"/>
    <w:rsid w:val="00F57825"/>
    <w:rsid w:val="00F64066"/>
    <w:rsid w:val="00F64906"/>
    <w:rsid w:val="00F66A3D"/>
    <w:rsid w:val="00F73221"/>
    <w:rsid w:val="00F80DF2"/>
    <w:rsid w:val="00F8197B"/>
    <w:rsid w:val="00F91A23"/>
    <w:rsid w:val="00F94A4F"/>
    <w:rsid w:val="00F94CB6"/>
    <w:rsid w:val="00F96EB8"/>
    <w:rsid w:val="00FA2DEE"/>
    <w:rsid w:val="00FA2ED2"/>
    <w:rsid w:val="00FA6595"/>
    <w:rsid w:val="00FB05D3"/>
    <w:rsid w:val="00FB2F15"/>
    <w:rsid w:val="00FB33BA"/>
    <w:rsid w:val="00FB5343"/>
    <w:rsid w:val="00FC0A5A"/>
    <w:rsid w:val="00FC4712"/>
    <w:rsid w:val="00FC5EA1"/>
    <w:rsid w:val="00FC5EA2"/>
    <w:rsid w:val="00FF2D1E"/>
    <w:rsid w:val="00FF69A2"/>
    <w:rsid w:val="01CC1B54"/>
    <w:rsid w:val="07E513CD"/>
    <w:rsid w:val="0AE48C98"/>
    <w:rsid w:val="14AAEA64"/>
    <w:rsid w:val="1D729BE5"/>
    <w:rsid w:val="1E3A3EAA"/>
    <w:rsid w:val="200B0B77"/>
    <w:rsid w:val="25B5CD40"/>
    <w:rsid w:val="296B4AF4"/>
    <w:rsid w:val="29ADBA52"/>
    <w:rsid w:val="2ABD91F3"/>
    <w:rsid w:val="2EAAF4F0"/>
    <w:rsid w:val="35C5C775"/>
    <w:rsid w:val="36F2CE42"/>
    <w:rsid w:val="370F05BA"/>
    <w:rsid w:val="394727F5"/>
    <w:rsid w:val="3B781388"/>
    <w:rsid w:val="3CBEF870"/>
    <w:rsid w:val="474C919D"/>
    <w:rsid w:val="481BA933"/>
    <w:rsid w:val="4875587F"/>
    <w:rsid w:val="4D019384"/>
    <w:rsid w:val="4F5C3A55"/>
    <w:rsid w:val="503DEA3C"/>
    <w:rsid w:val="50F32E7D"/>
    <w:rsid w:val="517F6722"/>
    <w:rsid w:val="5ABF5ED7"/>
    <w:rsid w:val="5B50D38A"/>
    <w:rsid w:val="61A999C1"/>
    <w:rsid w:val="6269F4B9"/>
    <w:rsid w:val="71D870E5"/>
    <w:rsid w:val="7B7A17B5"/>
    <w:rsid w:val="7D4AEA7F"/>
    <w:rsid w:val="7F21D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4683EFA4-1641-4DD8-A8DA-CFC01EF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D21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D21F5"/>
  </w:style>
  <w:style w:type="paragraph" w:styleId="Revision">
    <w:name w:val="Revision"/>
    <w:hidden/>
    <w:uiPriority w:val="99"/>
    <w:semiHidden/>
    <w:rsid w:val="00A2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programs/coe/indicator/cfa" TargetMode="External"/><Relationship Id="rId3" Type="http://schemas.openxmlformats.org/officeDocument/2006/relationships/hyperlink" Target="https://www.cdc.gov/childrensmentalhealth/access.html" TargetMode="External"/><Relationship Id="rId7" Type="http://schemas.openxmlformats.org/officeDocument/2006/relationships/hyperlink" Target="https://www.cdc.gov/childrensmentalhealth/features/mental-health-children-and-parents.html" TargetMode="External"/><Relationship Id="rId2" Type="http://schemas.openxmlformats.org/officeDocument/2006/relationships/hyperlink" Target="https://doi.org/10.1377/hpb20190325.519221" TargetMode="External"/><Relationship Id="rId1" Type="http://schemas.openxmlformats.org/officeDocument/2006/relationships/hyperlink" Target="https://www.cdc.gov/childrensmentalhealth/basics.html" TargetMode="External"/><Relationship Id="rId6" Type="http://schemas.openxmlformats.org/officeDocument/2006/relationships/hyperlink" Target="https://cdn.americanprogress.org/wp-content/uploads/2016/04/01115656/NIEER-AchievementGaps-report.pdf" TargetMode="External"/><Relationship Id="rId5" Type="http://schemas.openxmlformats.org/officeDocument/2006/relationships/hyperlink" Target="https://www.srcd.org/sites/default/files/file-attachments/mb_2013_10_16_investing_in_children.pdf" TargetMode="External"/><Relationship Id="rId10" Type="http://schemas.openxmlformats.org/officeDocument/2006/relationships/hyperlink" Target="https://nieer.org/wp-content/uploads/2021/02/Special-Report-Access-to-High-Quality-Early-Education-and-Racial-Equity.pdf" TargetMode="External"/><Relationship Id="rId4" Type="http://schemas.openxmlformats.org/officeDocument/2006/relationships/hyperlink" Target="https://www.healthypeople.gov/2020/topics-objectives/topic/social-determinants-health/interventions-resources/early-childhood-development-and-education" TargetMode="External"/><Relationship Id="rId9" Type="http://schemas.openxmlformats.org/officeDocument/2006/relationships/hyperlink" Target="https://www.census.gov/library/stories/2020/09/poverty-rates-for-blacks-and-hispanics-reached-historic-lows-in-20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Links>
    <vt:vector size="66" baseType="variant">
      <vt:variant>
        <vt:i4>851998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https://www.census.gov/programs-surveys/acs/data.html</vt:lpwstr>
      </vt:variant>
      <vt:variant>
        <vt:lpwstr/>
      </vt:variant>
      <vt:variant>
        <vt:i4>4194323</vt:i4>
      </vt:variant>
      <vt:variant>
        <vt:i4>27</vt:i4>
      </vt:variant>
      <vt:variant>
        <vt:i4>0</vt:i4>
      </vt:variant>
      <vt:variant>
        <vt:i4>5</vt:i4>
      </vt:variant>
      <vt:variant>
        <vt:lpwstr>https://nieer.org/wp-content/uploads/2021/02/Special-Report-Access-to-High-Quality-Early-Education-and-Racial-Equity.pdf</vt:lpwstr>
      </vt:variant>
      <vt:variant>
        <vt:lpwstr/>
      </vt:variant>
      <vt:variant>
        <vt:i4>4587545</vt:i4>
      </vt:variant>
      <vt:variant>
        <vt:i4>24</vt:i4>
      </vt:variant>
      <vt:variant>
        <vt:i4>0</vt:i4>
      </vt:variant>
      <vt:variant>
        <vt:i4>5</vt:i4>
      </vt:variant>
      <vt:variant>
        <vt:lpwstr>https://www.census.gov/library/stories/2020/09/poverty-rates-for-blacks-and-hispanics-reached-historic-lows-in-2019.html</vt:lpwstr>
      </vt:variant>
      <vt:variant>
        <vt:lpwstr/>
      </vt:variant>
      <vt:variant>
        <vt:i4>6357055</vt:i4>
      </vt:variant>
      <vt:variant>
        <vt:i4>21</vt:i4>
      </vt:variant>
      <vt:variant>
        <vt:i4>0</vt:i4>
      </vt:variant>
      <vt:variant>
        <vt:i4>5</vt:i4>
      </vt:variant>
      <vt:variant>
        <vt:lpwstr>https://nces.ed.gov/programs/coe/indicator/cfa</vt:lpwstr>
      </vt:variant>
      <vt:variant>
        <vt:lpwstr/>
      </vt:variant>
      <vt:variant>
        <vt:i4>7798823</vt:i4>
      </vt:variant>
      <vt:variant>
        <vt:i4>18</vt:i4>
      </vt:variant>
      <vt:variant>
        <vt:i4>0</vt:i4>
      </vt:variant>
      <vt:variant>
        <vt:i4>5</vt:i4>
      </vt:variant>
      <vt:variant>
        <vt:lpwstr>https://www.cdc.gov/childrensmentalhealth/features/mental-health-children-and-parents.html</vt:lpwstr>
      </vt:variant>
      <vt:variant>
        <vt:lpwstr/>
      </vt:variant>
      <vt:variant>
        <vt:i4>4587543</vt:i4>
      </vt:variant>
      <vt:variant>
        <vt:i4>15</vt:i4>
      </vt:variant>
      <vt:variant>
        <vt:i4>0</vt:i4>
      </vt:variant>
      <vt:variant>
        <vt:i4>5</vt:i4>
      </vt:variant>
      <vt:variant>
        <vt:lpwstr>https://cdn.americanprogress.org/wp-content/uploads/2016/04/01115656/NIEER-AchievementGaps-report.pdf</vt:lpwstr>
      </vt:variant>
      <vt:variant>
        <vt:lpwstr/>
      </vt:variant>
      <vt:variant>
        <vt:i4>3997755</vt:i4>
      </vt:variant>
      <vt:variant>
        <vt:i4>12</vt:i4>
      </vt:variant>
      <vt:variant>
        <vt:i4>0</vt:i4>
      </vt:variant>
      <vt:variant>
        <vt:i4>5</vt:i4>
      </vt:variant>
      <vt:variant>
        <vt:lpwstr>https://www.srcd.org/sites/default/files/file-attachments/mb_2013_10_16_investing_in_children.pdf</vt:lpwstr>
      </vt:variant>
      <vt:variant>
        <vt:lpwstr/>
      </vt:variant>
      <vt:variant>
        <vt:i4>6553636</vt:i4>
      </vt:variant>
      <vt:variant>
        <vt:i4>9</vt:i4>
      </vt:variant>
      <vt:variant>
        <vt:i4>0</vt:i4>
      </vt:variant>
      <vt:variant>
        <vt:i4>5</vt:i4>
      </vt:variant>
      <vt:variant>
        <vt:lpwstr>https://www.healthypeople.gov/2020/topics-objectives/topic/social-determinants-health/interventions-resources/early-childhood-development-and-education</vt:lpwstr>
      </vt:variant>
      <vt:variant>
        <vt:lpwstr/>
      </vt:variant>
      <vt:variant>
        <vt:i4>1703966</vt:i4>
      </vt:variant>
      <vt:variant>
        <vt:i4>6</vt:i4>
      </vt:variant>
      <vt:variant>
        <vt:i4>0</vt:i4>
      </vt:variant>
      <vt:variant>
        <vt:i4>5</vt:i4>
      </vt:variant>
      <vt:variant>
        <vt:lpwstr>https://www.cdc.gov/childrensmentalhealth/access.html</vt:lpwstr>
      </vt:variant>
      <vt:variant>
        <vt:lpwstr/>
      </vt:variant>
      <vt:variant>
        <vt:i4>7929957</vt:i4>
      </vt:variant>
      <vt:variant>
        <vt:i4>3</vt:i4>
      </vt:variant>
      <vt:variant>
        <vt:i4>0</vt:i4>
      </vt:variant>
      <vt:variant>
        <vt:i4>5</vt:i4>
      </vt:variant>
      <vt:variant>
        <vt:lpwstr>https://doi.org/10.1377/hpb20190325.519221</vt:lpwstr>
      </vt:variant>
      <vt:variant>
        <vt:lpwstr/>
      </vt:variant>
      <vt:variant>
        <vt:i4>1310749</vt:i4>
      </vt:variant>
      <vt:variant>
        <vt:i4>0</vt:i4>
      </vt:variant>
      <vt:variant>
        <vt:i4>0</vt:i4>
      </vt:variant>
      <vt:variant>
        <vt:i4>5</vt:i4>
      </vt:variant>
      <vt:variant>
        <vt:lpwstr>https://www.cdc.gov/childrensmentalhealth/basics.html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325</cp:revision>
  <dcterms:created xsi:type="dcterms:W3CDTF">2021-08-02T19:31:00Z</dcterms:created>
  <dcterms:modified xsi:type="dcterms:W3CDTF">2021-11-15T19:09:00Z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