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A954" w14:textId="425C72CE" w:rsidR="002B6F8E" w:rsidRPr="00F95258" w:rsidRDefault="002B6F8E">
      <w:r w:rsidRPr="00AE261C">
        <w:rPr>
          <w:b/>
          <w:bCs/>
        </w:rPr>
        <w:t>Name</w:t>
      </w:r>
      <w:r w:rsidR="00D44CAC">
        <w:t>:</w:t>
      </w:r>
      <w:r w:rsidR="00F95258">
        <w:t xml:space="preserve"> </w:t>
      </w:r>
      <w:r w:rsidR="00F95258">
        <w:rPr>
          <w:b/>
          <w:bCs/>
        </w:rPr>
        <w:t xml:space="preserve"> </w:t>
      </w:r>
      <w:r w:rsidR="00F95258" w:rsidRPr="00F21109">
        <w:t>Smoking</w:t>
      </w:r>
      <w:r w:rsidR="007452C4" w:rsidRPr="00F21109">
        <w:t xml:space="preserve"> Status</w:t>
      </w:r>
    </w:p>
    <w:p w14:paraId="0D41E867" w14:textId="77777777" w:rsidR="00AA5AB9" w:rsidRDefault="00AA5AB9"/>
    <w:p w14:paraId="100E41DE" w14:textId="7FC3178A" w:rsidR="00EC670E" w:rsidRDefault="002B6F8E">
      <w:r w:rsidRPr="00AE261C">
        <w:rPr>
          <w:b/>
          <w:bCs/>
        </w:rPr>
        <w:t>Short Description</w:t>
      </w:r>
      <w:r w:rsidR="00D44CAC">
        <w:t>:</w:t>
      </w:r>
      <w:r w:rsidR="00F95258">
        <w:t xml:space="preserve"> </w:t>
      </w:r>
      <w:r w:rsidR="001F60A7">
        <w:t xml:space="preserve">Percent of </w:t>
      </w:r>
      <w:r w:rsidR="00F629FE">
        <w:t>adults</w:t>
      </w:r>
      <w:r w:rsidR="00B64CB5">
        <w:t xml:space="preserve"> that currently smoke</w:t>
      </w:r>
      <w:r w:rsidR="00B409CF">
        <w:t xml:space="preserve"> cigarettes</w:t>
      </w:r>
      <w:r w:rsidR="00FE0F3F">
        <w:t xml:space="preserve"> (calculated as a crude prevalence)</w:t>
      </w:r>
      <w:r w:rsidR="00B64CB5">
        <w:t>.</w:t>
      </w:r>
    </w:p>
    <w:p w14:paraId="285F7F9C" w14:textId="72AF4EE6" w:rsidR="002B6F8E" w:rsidRDefault="002B6F8E"/>
    <w:p w14:paraId="4A72B57B" w14:textId="4F4BC260" w:rsidR="002B6F8E" w:rsidRPr="00D44CAC" w:rsidRDefault="00C63158">
      <w:r>
        <w:rPr>
          <w:b/>
          <w:bCs/>
        </w:rPr>
        <w:t xml:space="preserve">Data </w:t>
      </w:r>
      <w:r w:rsidR="002B6F8E" w:rsidRPr="002B6F8E">
        <w:rPr>
          <w:b/>
          <w:bCs/>
        </w:rPr>
        <w:t>Source</w:t>
      </w:r>
      <w:r w:rsidR="009372D5">
        <w:rPr>
          <w:b/>
          <w:bCs/>
        </w:rPr>
        <w:t>(s)</w:t>
      </w:r>
      <w:r w:rsidR="00D44CAC">
        <w:t>:</w:t>
      </w:r>
    </w:p>
    <w:p w14:paraId="4627A894" w14:textId="77777777" w:rsidR="00C3440D" w:rsidRDefault="00C3440D" w:rsidP="00C3440D"/>
    <w:p w14:paraId="436CA6C7" w14:textId="77777777" w:rsidR="004F4D25" w:rsidRDefault="004F4D25" w:rsidP="004F4D25">
      <w:pPr>
        <w:pStyle w:val="ListParagraph"/>
        <w:numPr>
          <w:ilvl w:val="0"/>
          <w:numId w:val="8"/>
        </w:numPr>
      </w:pPr>
      <w:r w:rsidRPr="009014F7">
        <w:rPr>
          <w:u w:val="single"/>
        </w:rPr>
        <w:t>Name</w:t>
      </w:r>
      <w:r>
        <w:t>: The Centers for Disease Control and Prevention (CDC) Behavioral Risk Factor Surveillance System (</w:t>
      </w:r>
      <w:r w:rsidRPr="002F2AE8">
        <w:t>BRFSS</w:t>
      </w:r>
      <w:r>
        <w:t xml:space="preserve">), accessed via the </w:t>
      </w:r>
      <w:r w:rsidRPr="002F2AE8">
        <w:t>PLACES</w:t>
      </w:r>
      <w:r>
        <w:t xml:space="preserve"> Project Data Portal</w:t>
      </w:r>
    </w:p>
    <w:p w14:paraId="3A4704D9" w14:textId="77777777" w:rsidR="004F4D25" w:rsidRPr="00433CEA" w:rsidRDefault="004F4D25" w:rsidP="004F4D25">
      <w:pPr>
        <w:pStyle w:val="ListParagraph"/>
      </w:pPr>
      <w:r w:rsidRPr="009539F8">
        <w:rPr>
          <w:u w:val="single"/>
        </w:rPr>
        <w:t>Link to Source</w:t>
      </w:r>
      <w:r>
        <w:t xml:space="preserve">: </w:t>
      </w:r>
      <w:hyperlink r:id="rId11" w:history="1">
        <w:r w:rsidRPr="009539F8">
          <w:rPr>
            <w:rStyle w:val="Hyperlink"/>
            <w:rFonts w:ascii="Calibri" w:eastAsia="Times New Roman" w:hAnsi="Calibri" w:cs="Calibri"/>
            <w:sz w:val="22"/>
            <w:szCs w:val="22"/>
          </w:rPr>
          <w:t>https://chronicdata.cdc.gov/browse?category=500+Cities+%26+Places&amp;sortBy=newest&amp;utf8</w:t>
        </w:r>
      </w:hyperlink>
      <w:r w:rsidRPr="009539F8">
        <w:rPr>
          <w:rFonts w:ascii="Calibri" w:eastAsia="Times New Roman" w:hAnsi="Calibri" w:cs="Calibri"/>
          <w:color w:val="0563C1"/>
          <w:sz w:val="22"/>
          <w:szCs w:val="22"/>
          <w:u w:val="single"/>
        </w:rPr>
        <w:t xml:space="preserve"> </w:t>
      </w:r>
    </w:p>
    <w:p w14:paraId="09098AE3" w14:textId="4E21EED8" w:rsidR="002B6F8E" w:rsidRDefault="002B6F8E">
      <w:pPr>
        <w:rPr>
          <w:b/>
          <w:bCs/>
        </w:rPr>
      </w:pPr>
    </w:p>
    <w:p w14:paraId="06D4C025" w14:textId="793338F4" w:rsidR="002B6F8E" w:rsidRPr="001078E9" w:rsidRDefault="002B6F8E">
      <w:r>
        <w:rPr>
          <w:b/>
          <w:bCs/>
        </w:rPr>
        <w:t>Year</w:t>
      </w:r>
      <w:r w:rsidR="000F2278">
        <w:rPr>
          <w:b/>
          <w:bCs/>
        </w:rPr>
        <w:t>(s)</w:t>
      </w:r>
      <w:r w:rsidR="00082B14">
        <w:rPr>
          <w:b/>
          <w:bCs/>
        </w:rPr>
        <w:t>:</w:t>
      </w:r>
      <w:r w:rsidR="001B5F77">
        <w:rPr>
          <w:b/>
          <w:bCs/>
        </w:rPr>
        <w:t xml:space="preserve"> </w:t>
      </w:r>
      <w:r w:rsidR="00952762" w:rsidRPr="001078E9">
        <w:t>2018</w:t>
      </w:r>
    </w:p>
    <w:p w14:paraId="169D6C46" w14:textId="2812697E" w:rsidR="002B6F8E" w:rsidRDefault="002B6F8E"/>
    <w:p w14:paraId="3A134C16" w14:textId="6D39F796" w:rsidR="00DA16C3" w:rsidRDefault="00F21109">
      <w:r>
        <w:rPr>
          <w:b/>
          <w:bCs/>
        </w:rPr>
        <w:t xml:space="preserve">Source </w:t>
      </w:r>
      <w:r w:rsidR="00C63158">
        <w:rPr>
          <w:b/>
          <w:bCs/>
        </w:rPr>
        <w:t>Geographic Level</w:t>
      </w:r>
      <w:r w:rsidR="00E775B6">
        <w:t>:</w:t>
      </w:r>
      <w:r w:rsidR="00FB3EF5">
        <w:t xml:space="preserve"> Z</w:t>
      </w:r>
      <w:r w:rsidR="00B8751F">
        <w:t xml:space="preserve">ip </w:t>
      </w:r>
      <w:r w:rsidR="008A5B6A">
        <w:t>C</w:t>
      </w:r>
      <w:r w:rsidR="00B8751F">
        <w:t xml:space="preserve">ode </w:t>
      </w:r>
      <w:r w:rsidR="008A5B6A">
        <w:t>T</w:t>
      </w:r>
      <w:r w:rsidR="00B8751F">
        <w:t xml:space="preserve">abulation </w:t>
      </w:r>
      <w:r w:rsidR="008A5B6A">
        <w:t>A</w:t>
      </w:r>
      <w:r w:rsidR="00B8751F">
        <w:t>rea</w:t>
      </w:r>
      <w:r w:rsidR="000A365A">
        <w:t xml:space="preserve"> (ZCTA)</w:t>
      </w:r>
    </w:p>
    <w:p w14:paraId="17DDA767" w14:textId="77777777" w:rsidR="00C63158" w:rsidRDefault="00C63158">
      <w:pPr>
        <w:rPr>
          <w:b/>
          <w:bCs/>
        </w:rPr>
      </w:pPr>
    </w:p>
    <w:p w14:paraId="1B1D157C" w14:textId="3FC2C5D1" w:rsidR="009245F3" w:rsidRPr="003D1192" w:rsidRDefault="00B8751F" w:rsidP="00F21109">
      <w:r>
        <w:rPr>
          <w:b/>
          <w:bCs/>
        </w:rPr>
        <w:t>Stratification</w:t>
      </w:r>
      <w:r w:rsidR="00F8197B">
        <w:t>:</w:t>
      </w:r>
      <w:r w:rsidR="00F21109">
        <w:t xml:space="preserve"> Not available</w:t>
      </w:r>
    </w:p>
    <w:p w14:paraId="76226322" w14:textId="3B492108" w:rsidR="002B6F8E" w:rsidRDefault="002B6F8E"/>
    <w:p w14:paraId="4F7874F1" w14:textId="5DE502A8" w:rsidR="00AA30DA" w:rsidRPr="00E34396" w:rsidRDefault="0070276E" w:rsidP="00AA30DA">
      <w:r w:rsidRPr="00AE261C">
        <w:rPr>
          <w:b/>
          <w:bCs/>
        </w:rPr>
        <w:t>Selection Rationale</w:t>
      </w:r>
      <w:r w:rsidR="002649BE">
        <w:rPr>
          <w:b/>
          <w:bCs/>
        </w:rPr>
        <w:t>:</w:t>
      </w:r>
      <w:r w:rsidR="00AA30DA">
        <w:rPr>
          <w:b/>
          <w:bCs/>
        </w:rPr>
        <w:t xml:space="preserve"> </w:t>
      </w:r>
      <w:r w:rsidR="006716B3">
        <w:t xml:space="preserve">Smoking </w:t>
      </w:r>
      <w:r w:rsidR="00193476">
        <w:t>(tobacco use disorder)</w:t>
      </w:r>
      <w:r w:rsidR="00193476" w:rsidRPr="2AF756AB">
        <w:rPr>
          <w:rStyle w:val="FootnoteReference"/>
        </w:rPr>
        <w:footnoteReference w:id="2"/>
      </w:r>
      <w:r w:rsidR="00193476">
        <w:t xml:space="preserve"> </w:t>
      </w:r>
      <w:r w:rsidR="006716B3">
        <w:t>is the most common form of substance use</w:t>
      </w:r>
      <w:r w:rsidR="00572023">
        <w:t xml:space="preserve"> </w:t>
      </w:r>
      <w:r w:rsidR="00110DB3">
        <w:t xml:space="preserve">so </w:t>
      </w:r>
      <w:r w:rsidR="006716B3">
        <w:t xml:space="preserve">measuring </w:t>
      </w:r>
      <w:r w:rsidR="00936B96">
        <w:t xml:space="preserve">cigarette </w:t>
      </w:r>
      <w:r w:rsidR="002519FD">
        <w:t xml:space="preserve">smoking prevalence in a population is </w:t>
      </w:r>
      <w:r w:rsidR="006716B3">
        <w:t xml:space="preserve">essential to </w:t>
      </w:r>
      <w:r w:rsidR="00193476">
        <w:t>understanding substance use prevalence</w:t>
      </w:r>
      <w:r w:rsidR="006716B3">
        <w:t xml:space="preserve">. </w:t>
      </w:r>
      <w:r w:rsidR="006419B7">
        <w:t xml:space="preserve">There is </w:t>
      </w:r>
      <w:r w:rsidR="00270A4D">
        <w:t xml:space="preserve">also </w:t>
      </w:r>
      <w:r w:rsidR="006419B7">
        <w:t xml:space="preserve">a strong </w:t>
      </w:r>
      <w:r w:rsidR="00BB0092">
        <w:t xml:space="preserve">relationship between smoking and </w:t>
      </w:r>
      <w:r w:rsidR="00AC6F52">
        <w:t>common mental disorders, as s</w:t>
      </w:r>
      <w:r w:rsidR="0053232F">
        <w:t xml:space="preserve">moking is a </w:t>
      </w:r>
      <w:r w:rsidR="00E50028">
        <w:t xml:space="preserve">frequent </w:t>
      </w:r>
      <w:r w:rsidR="0053232F">
        <w:t xml:space="preserve">coping mechanism for </w:t>
      </w:r>
      <w:r w:rsidR="00AC6F52">
        <w:t>distress.</w:t>
      </w:r>
      <w:r w:rsidR="00A158B5">
        <w:rPr>
          <w:rStyle w:val="FootnoteReference"/>
        </w:rPr>
        <w:footnoteReference w:id="3"/>
      </w:r>
      <w:r w:rsidR="00AC6F52">
        <w:t xml:space="preserve"> </w:t>
      </w:r>
      <w:r w:rsidR="008738D1">
        <w:t xml:space="preserve"> </w:t>
      </w:r>
      <w:r w:rsidR="00A158B5">
        <w:t xml:space="preserve">Smoking is therefore both a direct and indirect measure of </w:t>
      </w:r>
      <w:r w:rsidR="00083C18">
        <w:t>mental</w:t>
      </w:r>
      <w:r w:rsidR="005429F9">
        <w:t xml:space="preserve"> </w:t>
      </w:r>
      <w:r w:rsidR="00B25724">
        <w:t>wellness</w:t>
      </w:r>
      <w:r w:rsidR="00A158B5">
        <w:t xml:space="preserve"> in a community. </w:t>
      </w:r>
    </w:p>
    <w:p w14:paraId="6505FA47" w14:textId="6F7D7223" w:rsidR="0070276E" w:rsidRDefault="0070276E">
      <w:pPr>
        <w:rPr>
          <w:b/>
          <w:bCs/>
        </w:rPr>
      </w:pPr>
    </w:p>
    <w:p w14:paraId="10D8FD63" w14:textId="0C181793" w:rsidR="00181F4B" w:rsidRPr="00B21683" w:rsidRDefault="00181F4B">
      <w:r>
        <w:rPr>
          <w:b/>
          <w:bCs/>
        </w:rPr>
        <w:t>Strengths and Limitations</w:t>
      </w:r>
      <w:r>
        <w:t xml:space="preserve">: </w:t>
      </w:r>
    </w:p>
    <w:p w14:paraId="0FBF05E4" w14:textId="77777777" w:rsidR="00D85C3D" w:rsidRPr="00B21683" w:rsidRDefault="00D85C3D" w:rsidP="00B21683">
      <w:pPr>
        <w:pStyle w:val="ListParagraph"/>
        <w:numPr>
          <w:ilvl w:val="0"/>
          <w:numId w:val="14"/>
        </w:numPr>
        <w:rPr>
          <w:bCs/>
        </w:rPr>
      </w:pPr>
      <w:r w:rsidRPr="00B21683">
        <w:rPr>
          <w:b/>
        </w:rPr>
        <w:t>Strengths</w:t>
      </w:r>
      <w:r w:rsidRPr="00B21683">
        <w:rPr>
          <w:bCs/>
        </w:rPr>
        <w:t xml:space="preserve">: </w:t>
      </w:r>
    </w:p>
    <w:p w14:paraId="1CD38DA7" w14:textId="4014E801" w:rsidR="006B19EB" w:rsidRPr="008C0045" w:rsidRDefault="006B19EB" w:rsidP="00B21683">
      <w:pPr>
        <w:pStyle w:val="ListParagraph"/>
        <w:numPr>
          <w:ilvl w:val="1"/>
          <w:numId w:val="14"/>
        </w:numPr>
      </w:pPr>
      <w:r>
        <w:t>[</w:t>
      </w:r>
      <w:r w:rsidR="00EB031A" w:rsidRPr="2AF756AB">
        <w:rPr>
          <w:i/>
          <w:iCs/>
        </w:rPr>
        <w:t>Importance</w:t>
      </w:r>
      <w:r>
        <w:t>]</w:t>
      </w:r>
      <w:r w:rsidR="00621422">
        <w:t xml:space="preserve"> </w:t>
      </w:r>
      <w:r w:rsidR="008C0045">
        <w:t>Smoking is the most common form of substance use</w:t>
      </w:r>
      <w:r w:rsidR="59C0A4BF">
        <w:t xml:space="preserve"> disorder</w:t>
      </w:r>
      <w:r w:rsidR="008C0045">
        <w:t xml:space="preserve">, </w:t>
      </w:r>
      <w:r w:rsidR="00666C2B">
        <w:t>and is linked to</w:t>
      </w:r>
      <w:r w:rsidR="003E6E8E">
        <w:t xml:space="preserve"> several common mental disorders</w:t>
      </w:r>
      <w:r w:rsidR="00346B53">
        <w:t>,</w:t>
      </w:r>
      <w:r w:rsidR="003E6E8E">
        <w:t xml:space="preserve"> making </w:t>
      </w:r>
      <w:r w:rsidR="008C0045">
        <w:t xml:space="preserve">smoking essential to understanding the </w:t>
      </w:r>
      <w:r w:rsidR="003E6E8E">
        <w:t>mental wellness</w:t>
      </w:r>
      <w:r w:rsidR="00856A8E">
        <w:t xml:space="preserve"> </w:t>
      </w:r>
      <w:r w:rsidR="008C0045">
        <w:t>of a population.</w:t>
      </w:r>
    </w:p>
    <w:p w14:paraId="361AE815" w14:textId="45AAB1CB" w:rsidR="008C0045" w:rsidRPr="00C57FC4" w:rsidRDefault="005178B8" w:rsidP="2AF756AB">
      <w:pPr>
        <w:pStyle w:val="ListParagraph"/>
        <w:numPr>
          <w:ilvl w:val="1"/>
          <w:numId w:val="14"/>
        </w:numPr>
      </w:pPr>
      <w:r>
        <w:rPr>
          <w:bCs/>
        </w:rPr>
        <w:t>[</w:t>
      </w:r>
      <w:r w:rsidRPr="2AF756AB">
        <w:rPr>
          <w:i/>
          <w:iCs/>
        </w:rPr>
        <w:t>Equity</w:t>
      </w:r>
      <w:r>
        <w:rPr>
          <w:bCs/>
        </w:rPr>
        <w:t xml:space="preserve">] </w:t>
      </w:r>
      <w:r w:rsidR="00346B53">
        <w:rPr>
          <w:bCs/>
        </w:rPr>
        <w:t>W</w:t>
      </w:r>
      <w:r w:rsidR="00602CDA" w:rsidRPr="2AF756AB">
        <w:t>hile Black and African Americans on the whole smoke fewer cigarettes than Hispanics and Whites</w:t>
      </w:r>
      <w:r w:rsidR="003356A3" w:rsidRPr="2AF756AB">
        <w:t>, they are more likely to die of a smoking-related disease</w:t>
      </w:r>
      <w:r w:rsidR="006003AE" w:rsidRPr="2AF756AB">
        <w:rPr>
          <w:rStyle w:val="FootnoteReference"/>
        </w:rPr>
        <w:footnoteReference w:id="4"/>
      </w:r>
      <w:r w:rsidR="003356A3" w:rsidRPr="2AF756AB">
        <w:t xml:space="preserve"> and are </w:t>
      </w:r>
      <w:r w:rsidR="005C3985" w:rsidRPr="2AF756AB">
        <w:t>speci</w:t>
      </w:r>
      <w:r w:rsidR="00E50028" w:rsidRPr="2AF756AB">
        <w:t>fic</w:t>
      </w:r>
      <w:r w:rsidR="005C3985" w:rsidRPr="2AF756AB">
        <w:t>ally targeted by tobacco companies.</w:t>
      </w:r>
      <w:r w:rsidR="008575A4" w:rsidRPr="2AF756AB">
        <w:rPr>
          <w:rStyle w:val="FootnoteReference"/>
        </w:rPr>
        <w:footnoteReference w:id="5"/>
      </w:r>
      <w:r w:rsidR="005C3985">
        <w:rPr>
          <w:bCs/>
        </w:rPr>
        <w:t xml:space="preserve"> </w:t>
      </w:r>
    </w:p>
    <w:p w14:paraId="0474FEF8" w14:textId="600AD7A5" w:rsidR="00C57FC4" w:rsidRPr="00110D4B" w:rsidRDefault="00C57FC4" w:rsidP="00B21683">
      <w:pPr>
        <w:pStyle w:val="ListParagraph"/>
        <w:numPr>
          <w:ilvl w:val="1"/>
          <w:numId w:val="14"/>
        </w:numPr>
        <w:rPr>
          <w:bCs/>
        </w:rPr>
      </w:pPr>
      <w:r>
        <w:lastRenderedPageBreak/>
        <w:t>[</w:t>
      </w:r>
      <w:r>
        <w:rPr>
          <w:i/>
          <w:iCs/>
        </w:rPr>
        <w:t>Relevance &amp; Usability</w:t>
      </w:r>
      <w:r>
        <w:t xml:space="preserve">] </w:t>
      </w:r>
      <w:r w:rsidR="00CC3FE6">
        <w:t xml:space="preserve">By understanding the prevalence of </w:t>
      </w:r>
      <w:r w:rsidR="00A6340F">
        <w:t xml:space="preserve">cigarette </w:t>
      </w:r>
      <w:r w:rsidR="00CC3FE6">
        <w:t xml:space="preserve">smoking, users of the tool will be able to best target </w:t>
      </w:r>
      <w:r w:rsidR="0048514A">
        <w:t>substance use</w:t>
      </w:r>
      <w:r w:rsidR="005A02F6">
        <w:t xml:space="preserve"> interventions in a community. </w:t>
      </w:r>
    </w:p>
    <w:p w14:paraId="34ACF724" w14:textId="77777777" w:rsidR="004047E2" w:rsidRPr="005D63FD" w:rsidRDefault="004047E2" w:rsidP="004047E2">
      <w:pPr>
        <w:pStyle w:val="ListParagraph"/>
        <w:numPr>
          <w:ilvl w:val="1"/>
          <w:numId w:val="14"/>
        </w:numPr>
        <w:rPr>
          <w:i/>
          <w:iCs/>
        </w:rPr>
      </w:pPr>
      <w:r w:rsidRPr="005F217F">
        <w:t>[</w:t>
      </w:r>
      <w:r w:rsidRPr="00E96582">
        <w:rPr>
          <w:i/>
          <w:iCs/>
        </w:rPr>
        <w:t>Feasibility</w:t>
      </w:r>
      <w:r w:rsidRPr="005F217F">
        <w:t>]</w:t>
      </w:r>
      <w:r w:rsidRPr="00E96582">
        <w:rPr>
          <w:i/>
          <w:iCs/>
        </w:rPr>
        <w:t xml:space="preserve"> </w:t>
      </w:r>
      <w:r>
        <w:rPr>
          <w:bCs/>
        </w:rPr>
        <w:t>BRFSS data is collected every year, and PLACES integrates the new data yearly. The data is easily downloadable.</w:t>
      </w:r>
      <w:r>
        <w:rPr>
          <w:rStyle w:val="FootnoteReference"/>
          <w:bCs/>
        </w:rPr>
        <w:t xml:space="preserve"> </w:t>
      </w:r>
    </w:p>
    <w:p w14:paraId="262E4A5B" w14:textId="757807A8" w:rsidR="00110D4B" w:rsidRPr="004047E2" w:rsidRDefault="004047E2" w:rsidP="004047E2">
      <w:pPr>
        <w:pStyle w:val="ListParagraph"/>
        <w:numPr>
          <w:ilvl w:val="1"/>
          <w:numId w:val="14"/>
        </w:numPr>
        <w:rPr>
          <w:i/>
          <w:iCs/>
        </w:rPr>
      </w:pPr>
      <w:r w:rsidRPr="001E7882">
        <w:t>[</w:t>
      </w:r>
      <w:r w:rsidRPr="00523D01">
        <w:rPr>
          <w:i/>
          <w:iCs/>
        </w:rPr>
        <w:t>Scientific Soundness</w:t>
      </w:r>
      <w:r w:rsidRPr="001E7882">
        <w:t xml:space="preserve">] </w:t>
      </w:r>
      <w:r>
        <w:rPr>
          <w:bCs/>
        </w:rPr>
        <w:t xml:space="preserve">The methods used by the CDC to generate these small area estimates accounts </w:t>
      </w:r>
      <w:r w:rsidRPr="0042641F">
        <w:rPr>
          <w:bCs/>
        </w:rPr>
        <w:t>for the associations between individual health outcomes, individual characteristics, and spatial contexts</w:t>
      </w:r>
      <w:r>
        <w:rPr>
          <w:bCs/>
        </w:rPr>
        <w:t>. CDC’s internal and external validation studies confirm strong consistency between small area estimates and direct BRFSS survey estimates at state and county levels.</w:t>
      </w:r>
      <w:r>
        <w:rPr>
          <w:rStyle w:val="FootnoteReference"/>
          <w:bCs/>
        </w:rPr>
        <w:t xml:space="preserve"> </w:t>
      </w:r>
      <w:r>
        <w:rPr>
          <w:rStyle w:val="FootnoteReference"/>
          <w:bCs/>
        </w:rPr>
        <w:footnoteReference w:id="6"/>
      </w:r>
      <w:r w:rsidRPr="00F871F2">
        <w:rPr>
          <w:bCs/>
        </w:rPr>
        <w:t xml:space="preserve"> </w:t>
      </w:r>
    </w:p>
    <w:p w14:paraId="287EDE99" w14:textId="77777777" w:rsidR="00110D4B" w:rsidRPr="006B19EB" w:rsidRDefault="00110D4B" w:rsidP="00110D4B">
      <w:pPr>
        <w:pStyle w:val="ListParagraph"/>
        <w:ind w:left="1440"/>
        <w:rPr>
          <w:bCs/>
        </w:rPr>
      </w:pPr>
    </w:p>
    <w:p w14:paraId="2E51B7B2" w14:textId="77777777" w:rsidR="00D85C3D" w:rsidRPr="00B21683" w:rsidRDefault="00D85C3D" w:rsidP="00B21683">
      <w:pPr>
        <w:pStyle w:val="ListParagraph"/>
        <w:numPr>
          <w:ilvl w:val="0"/>
          <w:numId w:val="14"/>
        </w:numPr>
        <w:rPr>
          <w:b/>
        </w:rPr>
      </w:pPr>
      <w:r w:rsidRPr="00B21683">
        <w:rPr>
          <w:b/>
        </w:rPr>
        <w:t>Limitations</w:t>
      </w:r>
      <w:r w:rsidRPr="00B21683">
        <w:rPr>
          <w:bCs/>
        </w:rPr>
        <w:t>:</w:t>
      </w:r>
      <w:r w:rsidRPr="00B21683">
        <w:rPr>
          <w:b/>
        </w:rPr>
        <w:t xml:space="preserve"> </w:t>
      </w:r>
    </w:p>
    <w:p w14:paraId="2D6B57B2" w14:textId="77777777" w:rsidR="00C86773" w:rsidRPr="00F21109" w:rsidRDefault="00C86773" w:rsidP="00C86773">
      <w:pPr>
        <w:pStyle w:val="ListParagraph"/>
        <w:numPr>
          <w:ilvl w:val="1"/>
          <w:numId w:val="14"/>
        </w:numPr>
        <w:rPr>
          <w:b/>
          <w:bCs/>
        </w:rPr>
      </w:pPr>
      <w:r>
        <w:t>[</w:t>
      </w:r>
      <w:r>
        <w:rPr>
          <w:i/>
          <w:iCs/>
        </w:rPr>
        <w:t>Relevance &amp; Usability</w:t>
      </w:r>
      <w:r>
        <w:t>] This measure only reports data for cigarette smoking, not for other types of smoking, such as e-cigarettes, marijuana, or cigars.</w:t>
      </w:r>
    </w:p>
    <w:p w14:paraId="7C1739DC" w14:textId="77777777" w:rsidR="00754324" w:rsidRPr="00616E8F" w:rsidRDefault="00754324" w:rsidP="00754324">
      <w:pPr>
        <w:pStyle w:val="ListParagraph"/>
        <w:numPr>
          <w:ilvl w:val="1"/>
          <w:numId w:val="14"/>
        </w:numPr>
        <w:rPr>
          <w:i/>
          <w:iCs/>
        </w:rPr>
      </w:pPr>
      <w:r w:rsidRPr="001E7882">
        <w:t>[</w:t>
      </w:r>
      <w:r w:rsidRPr="00616E8F">
        <w:rPr>
          <w:i/>
          <w:iCs/>
        </w:rPr>
        <w:t>Relevance and Usability</w:t>
      </w:r>
      <w:r w:rsidRPr="001E7882">
        <w:t>]</w:t>
      </w:r>
      <w:r w:rsidRPr="00616E8F">
        <w:rPr>
          <w:i/>
          <w:iCs/>
        </w:rPr>
        <w:t xml:space="preserve"> </w:t>
      </w:r>
      <w:r>
        <w:rPr>
          <w:bCs/>
        </w:rPr>
        <w:t>This measure is a model-based estimate</w:t>
      </w:r>
      <w:r>
        <w:rPr>
          <w:rStyle w:val="FootnoteReference"/>
          <w:bCs/>
        </w:rPr>
        <w:footnoteReference w:id="7"/>
      </w:r>
      <w:r>
        <w:rPr>
          <w:bCs/>
        </w:rPr>
        <w:t>, so it may be difficult to interpret on its own.</w:t>
      </w:r>
    </w:p>
    <w:p w14:paraId="22139AEB" w14:textId="77777777" w:rsidR="00754324" w:rsidRPr="00616E8F" w:rsidRDefault="00754324" w:rsidP="00754324">
      <w:pPr>
        <w:pStyle w:val="ListParagraph"/>
        <w:numPr>
          <w:ilvl w:val="1"/>
          <w:numId w:val="14"/>
        </w:numPr>
        <w:rPr>
          <w:i/>
          <w:iCs/>
        </w:rPr>
      </w:pPr>
      <w:r w:rsidRPr="001E7882">
        <w:t>[</w:t>
      </w:r>
      <w:r w:rsidRPr="00616E8F">
        <w:rPr>
          <w:i/>
          <w:iCs/>
        </w:rPr>
        <w:t>Scientific Soundness</w:t>
      </w:r>
      <w:r w:rsidRPr="001E7882">
        <w:t>]</w:t>
      </w:r>
      <w:r w:rsidRPr="00616E8F">
        <w:rPr>
          <w:i/>
          <w:iCs/>
        </w:rPr>
        <w:t xml:space="preserve"> </w:t>
      </w:r>
      <w:r w:rsidRPr="00616E8F">
        <w:t>This measure is self-reported and depends on the accuracy of the person surveyed.</w:t>
      </w:r>
    </w:p>
    <w:p w14:paraId="224E359C" w14:textId="385F206D" w:rsidR="00C86773" w:rsidRPr="00754324" w:rsidRDefault="00754324" w:rsidP="00754324">
      <w:pPr>
        <w:pStyle w:val="ListParagraph"/>
        <w:numPr>
          <w:ilvl w:val="1"/>
          <w:numId w:val="14"/>
        </w:numPr>
        <w:rPr>
          <w:i/>
          <w:iCs/>
        </w:rPr>
      </w:pPr>
      <w:r w:rsidRPr="001E7882">
        <w:t>[</w:t>
      </w:r>
      <w:r w:rsidRPr="00616E8F">
        <w:rPr>
          <w:i/>
          <w:iCs/>
        </w:rPr>
        <w:t>Scientific Soundness</w:t>
      </w:r>
      <w:r w:rsidRPr="001E7882">
        <w:t>]</w:t>
      </w:r>
      <w:r w:rsidRPr="00616E8F">
        <w:rPr>
          <w:i/>
          <w:iCs/>
        </w:rPr>
        <w:t xml:space="preserve"> </w:t>
      </w:r>
      <w:r w:rsidRPr="00616E8F">
        <w:t>Age adjusted prevalence is not available at the census tract level, so this data is reported as a crude prevalence.</w:t>
      </w:r>
      <w:r w:rsidRPr="00616E8F">
        <w:rPr>
          <w:i/>
          <w:iCs/>
        </w:rPr>
        <w:t xml:space="preserve"> </w:t>
      </w:r>
    </w:p>
    <w:p w14:paraId="4998B9BF" w14:textId="35769C12" w:rsidR="009D1D3C" w:rsidRPr="00E771AA" w:rsidRDefault="00CC6FD7" w:rsidP="002522E2">
      <w:pPr>
        <w:pStyle w:val="ListParagraph"/>
        <w:numPr>
          <w:ilvl w:val="1"/>
          <w:numId w:val="14"/>
        </w:numPr>
        <w:rPr>
          <w:b/>
          <w:bCs/>
        </w:rPr>
      </w:pPr>
      <w:r w:rsidRPr="00A61A2D">
        <w:rPr>
          <w:bCs/>
        </w:rPr>
        <w:t>[</w:t>
      </w:r>
      <w:r w:rsidR="00911AB4" w:rsidRPr="00A61A2D">
        <w:rPr>
          <w:bCs/>
          <w:i/>
          <w:iCs/>
        </w:rPr>
        <w:t>Scientific Soundness</w:t>
      </w:r>
      <w:r w:rsidRPr="00A61A2D">
        <w:rPr>
          <w:bCs/>
        </w:rPr>
        <w:t xml:space="preserve">] </w:t>
      </w:r>
      <w:r w:rsidR="000510DD">
        <w:t>These data only reflect “current” smoking, rather than lifetime prevalence</w:t>
      </w:r>
      <w:r w:rsidR="00A61A2D">
        <w:t xml:space="preserve"> (though </w:t>
      </w:r>
      <w:r w:rsidR="000B66EA">
        <w:t>“current smokers” are required to have smoked at least 100 cigarettes in their lifetime</w:t>
      </w:r>
      <w:r w:rsidR="008B10AD">
        <w:t xml:space="preserve"> to be counted in this measure</w:t>
      </w:r>
      <w:r w:rsidR="000B66EA">
        <w:t>).</w:t>
      </w:r>
      <w:r w:rsidR="007441BE" w:rsidRPr="00F30479">
        <w:rPr>
          <w:rFonts w:cs="Times New Roman (Body CS)"/>
          <w:vertAlign w:val="superscript"/>
        </w:rPr>
        <w:t>4</w:t>
      </w:r>
      <w:r w:rsidR="000B66EA">
        <w:t xml:space="preserve"> </w:t>
      </w:r>
    </w:p>
    <w:p w14:paraId="06274C7C" w14:textId="77777777" w:rsidR="00A61A2D" w:rsidRPr="00A61A2D" w:rsidRDefault="00A61A2D" w:rsidP="00A61A2D">
      <w:pPr>
        <w:pStyle w:val="ListParagraph"/>
        <w:ind w:left="1440"/>
        <w:rPr>
          <w:b/>
          <w:bCs/>
        </w:rPr>
      </w:pPr>
    </w:p>
    <w:p w14:paraId="7305B90C" w14:textId="2864FCEA" w:rsidR="00A16408" w:rsidRPr="00F21109" w:rsidRDefault="00523739" w:rsidP="00A16408">
      <w:r w:rsidRPr="002E722D">
        <w:rPr>
          <w:b/>
          <w:bCs/>
        </w:rPr>
        <w:t xml:space="preserve">Default </w:t>
      </w:r>
      <w:r w:rsidR="00EC670E" w:rsidRPr="002E722D">
        <w:rPr>
          <w:b/>
          <w:bCs/>
        </w:rPr>
        <w:t>Weight</w:t>
      </w:r>
      <w:r w:rsidR="00FA2ED2" w:rsidRPr="002E722D">
        <w:t>:</w:t>
      </w:r>
      <w:r w:rsidR="00EC670E" w:rsidRPr="002E722D">
        <w:rPr>
          <w:b/>
          <w:bCs/>
        </w:rPr>
        <w:t xml:space="preserve"> </w:t>
      </w:r>
      <w:r w:rsidR="002E722D" w:rsidRPr="002E722D">
        <w:t xml:space="preserve">2.5% </w:t>
      </w:r>
      <w:r w:rsidR="002E722D" w:rsidRPr="002E722D">
        <w:rPr>
          <w:sz w:val="20"/>
          <w:szCs w:val="20"/>
        </w:rPr>
        <w:t>(</w:t>
      </w:r>
      <w:r w:rsidR="002E722D" w:rsidRPr="002E722D">
        <w:rPr>
          <w:i/>
          <w:iCs/>
          <w:sz w:val="20"/>
          <w:szCs w:val="20"/>
        </w:rPr>
        <w:t>see Weighting Documentation for details on how default weights were assigned</w:t>
      </w:r>
      <w:r w:rsidR="002E722D" w:rsidRPr="002E722D">
        <w:rPr>
          <w:sz w:val="20"/>
          <w:szCs w:val="20"/>
        </w:rPr>
        <w:t>)</w:t>
      </w:r>
    </w:p>
    <w:p w14:paraId="507A78AC" w14:textId="05744A29" w:rsidR="00A16408" w:rsidRPr="00F21109" w:rsidRDefault="00A16408" w:rsidP="00A16408"/>
    <w:p w14:paraId="400BBB33" w14:textId="70DA7A0F" w:rsidR="00A16408" w:rsidRDefault="00A16408" w:rsidP="00A16408">
      <w:r w:rsidRPr="00F21109">
        <w:rPr>
          <w:b/>
          <w:bCs/>
        </w:rPr>
        <w:t>Calculation</w:t>
      </w:r>
      <w:r w:rsidR="00FA2ED2" w:rsidRPr="00F21109">
        <w:t>:</w:t>
      </w:r>
    </w:p>
    <w:p w14:paraId="2BCCF91E" w14:textId="77777777" w:rsidR="009C121C" w:rsidRPr="00F21109" w:rsidRDefault="009C121C" w:rsidP="00A16408"/>
    <w:p w14:paraId="73F48A4C" w14:textId="77F61966" w:rsidR="009C121C" w:rsidRPr="00D53EB9" w:rsidRDefault="009C121C" w:rsidP="009C121C">
      <w:pPr>
        <w:jc w:val="center"/>
        <w:rPr>
          <w:i/>
          <w:sz w:val="17"/>
          <w:szCs w:val="17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Smoking 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Respondents aged ≥18 years who report that they are current cigarette smokers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Open Sans"/>
                      <w:i/>
                      <w:color w:val="000000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Open Sans"/>
                      <w:color w:val="000000"/>
                      <w:sz w:val="18"/>
                      <w:szCs w:val="18"/>
                    </w:rPr>
                    <m:t xml:space="preserve">Respondents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aged≥18 years </m:t>
                  </m:r>
                  <m:r>
                    <w:rPr>
                      <w:rFonts w:ascii="Cambria Math" w:hAnsi="Cambria Math" w:cs="Open Sans"/>
                      <w:color w:val="000000"/>
                      <w:sz w:val="18"/>
                      <w:szCs w:val="18"/>
                    </w:rPr>
                    <m:t>who report information about cigarette smoking</m:t>
                  </m:r>
                </m:e>
                <m:sup>
                  <m:r>
                    <w:rPr>
                      <w:rFonts w:ascii="Cambria Math" w:hAnsi="Cambria Math" w:cs="Open Sans"/>
                      <w:color w:val="000000"/>
                      <w:sz w:val="18"/>
                      <w:szCs w:val="18"/>
                    </w:rPr>
                    <m:t>**</m:t>
                  </m:r>
                </m:sup>
              </m:sSup>
            </m:den>
          </m:f>
          <m:r>
            <w:rPr>
              <w:rFonts w:ascii="Cambria Math" w:hAnsi="Cambria Math"/>
              <w:sz w:val="18"/>
              <w:szCs w:val="18"/>
            </w:rPr>
            <m:t xml:space="preserve"> x 100%</m:t>
          </m:r>
        </m:oMath>
      </m:oMathPara>
    </w:p>
    <w:p w14:paraId="076A703C" w14:textId="77777777" w:rsidR="009C121C" w:rsidRDefault="009C121C" w:rsidP="009C121C">
      <w:pPr>
        <w:jc w:val="center"/>
      </w:pPr>
    </w:p>
    <w:p w14:paraId="1960738F" w14:textId="0EC25911" w:rsidR="009C121C" w:rsidRDefault="009C121C" w:rsidP="009C121C">
      <w:r>
        <w:t xml:space="preserve">*Where </w:t>
      </w:r>
      <w:r w:rsidR="00CE59DF">
        <w:t xml:space="preserve">current cigarette smokers are defined as having smoked </w:t>
      </w:r>
      <w:r w:rsidR="00CD416D" w:rsidRPr="00CD416D">
        <w:t>≥100 cigarettes in their lifetime and currently smoke every day or some days.</w:t>
      </w:r>
      <w:r w:rsidR="00410532">
        <w:t xml:space="preserve"> </w:t>
      </w:r>
      <w:r w:rsidR="00410532" w:rsidRPr="00D53EB9">
        <w:t>This does not include e-cigarette smokers.</w:t>
      </w:r>
      <w:r w:rsidR="00410532" w:rsidRPr="00D53EB9">
        <w:rPr>
          <w:rStyle w:val="FootnoteReference"/>
        </w:rPr>
        <w:footnoteReference w:id="8"/>
      </w:r>
    </w:p>
    <w:p w14:paraId="7C225442" w14:textId="4609DA02" w:rsidR="0043612D" w:rsidRDefault="009C121C" w:rsidP="00526ECB">
      <w:r>
        <w:t xml:space="preserve">** Denominator excludes those </w:t>
      </w:r>
      <w:r w:rsidRPr="00B115C5">
        <w:t>who refused to answer, had a missing answer, or answered “don’t know</w:t>
      </w:r>
      <w:r w:rsidRPr="0094561A">
        <w:t>/not sure”</w:t>
      </w:r>
      <w:r w:rsidR="00CD416D" w:rsidRPr="0094561A">
        <w:t>.</w:t>
      </w:r>
      <w:r w:rsidR="00757EF9" w:rsidRPr="0094561A">
        <w:rPr>
          <w:rStyle w:val="FootnoteReference"/>
        </w:rPr>
        <w:footnoteReference w:id="9"/>
      </w:r>
      <w:r w:rsidR="00570352" w:rsidRPr="00F21109">
        <w:t xml:space="preserve"> </w:t>
      </w:r>
    </w:p>
    <w:p w14:paraId="5425F398" w14:textId="77777777" w:rsidR="0043612D" w:rsidRDefault="0043612D" w:rsidP="00A16408">
      <w:pPr>
        <w:jc w:val="center"/>
      </w:pPr>
    </w:p>
    <w:p w14:paraId="0DE64632" w14:textId="77777777" w:rsidR="0053311B" w:rsidRPr="00FA2ED2" w:rsidRDefault="0053311B" w:rsidP="0053311B">
      <w:r w:rsidRPr="0043612D">
        <w:rPr>
          <w:b/>
          <w:bCs/>
        </w:rPr>
        <w:t>Methods</w:t>
      </w:r>
      <w:r>
        <w:t>:</w:t>
      </w:r>
    </w:p>
    <w:p w14:paraId="561FA7A8" w14:textId="77777777" w:rsidR="0053311B" w:rsidRDefault="0053311B" w:rsidP="0053311B">
      <w:pPr>
        <w:rPr>
          <w:b/>
          <w:bCs/>
        </w:rPr>
      </w:pPr>
      <w:r w:rsidRPr="00A50550">
        <w:t>BRFSS estimates the crude prevalence based on self-reports using small area estimation (SAE) and multilevel regression and poststratification (MRP) which links geocoded health surveys and high spatial resolution population demographic and socioeconomic data.</w:t>
      </w:r>
      <w:r>
        <w:rPr>
          <w:rStyle w:val="FootnoteReference"/>
        </w:rPr>
        <w:footnoteReference w:id="10"/>
      </w:r>
      <w:r w:rsidDel="007801A3">
        <w:t xml:space="preserve"> </w:t>
      </w:r>
    </w:p>
    <w:p w14:paraId="1E9FAF92" w14:textId="77777777" w:rsidR="00A16408" w:rsidRDefault="00A16408" w:rsidP="00A16408">
      <w:pPr>
        <w:rPr>
          <w:b/>
          <w:bCs/>
        </w:rPr>
      </w:pPr>
    </w:p>
    <w:sectPr w:rsidR="00A1640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0E5C0" w14:textId="77777777" w:rsidR="00E74D3D" w:rsidRDefault="00E74D3D" w:rsidP="00621422">
      <w:r>
        <w:separator/>
      </w:r>
    </w:p>
  </w:endnote>
  <w:endnote w:type="continuationSeparator" w:id="0">
    <w:p w14:paraId="33C5A241" w14:textId="77777777" w:rsidR="00E74D3D" w:rsidRDefault="00E74D3D" w:rsidP="00621422">
      <w:r>
        <w:continuationSeparator/>
      </w:r>
    </w:p>
  </w:endnote>
  <w:endnote w:type="continuationNotice" w:id="1">
    <w:p w14:paraId="373606D4" w14:textId="77777777" w:rsidR="00E74D3D" w:rsidRDefault="00E74D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AF756AB" w14:paraId="62A85ABD" w14:textId="77777777" w:rsidTr="00E45BD3">
      <w:tc>
        <w:tcPr>
          <w:tcW w:w="3120" w:type="dxa"/>
        </w:tcPr>
        <w:p w14:paraId="0E11FC2E" w14:textId="0A4928A1" w:rsidR="2AF756AB" w:rsidRDefault="2AF756AB" w:rsidP="00E45BD3">
          <w:pPr>
            <w:pStyle w:val="Header"/>
            <w:ind w:left="-115"/>
          </w:pPr>
        </w:p>
      </w:tc>
      <w:tc>
        <w:tcPr>
          <w:tcW w:w="3120" w:type="dxa"/>
        </w:tcPr>
        <w:p w14:paraId="1FFEE9AC" w14:textId="4A64C6C2" w:rsidR="2AF756AB" w:rsidRDefault="2AF756AB" w:rsidP="00E45BD3">
          <w:pPr>
            <w:pStyle w:val="Header"/>
            <w:jc w:val="center"/>
          </w:pPr>
        </w:p>
      </w:tc>
      <w:tc>
        <w:tcPr>
          <w:tcW w:w="3120" w:type="dxa"/>
        </w:tcPr>
        <w:p w14:paraId="318898F7" w14:textId="23123A4D" w:rsidR="2AF756AB" w:rsidRDefault="2AF756AB" w:rsidP="00E45BD3">
          <w:pPr>
            <w:pStyle w:val="Header"/>
            <w:ind w:right="-115"/>
            <w:jc w:val="right"/>
          </w:pPr>
        </w:p>
      </w:tc>
    </w:tr>
  </w:tbl>
  <w:p w14:paraId="1B8459A7" w14:textId="52D042A9" w:rsidR="2AF756AB" w:rsidRDefault="2AF756AB" w:rsidP="00E45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7E4FD" w14:textId="77777777" w:rsidR="00E74D3D" w:rsidRDefault="00E74D3D" w:rsidP="00621422">
      <w:r>
        <w:separator/>
      </w:r>
    </w:p>
  </w:footnote>
  <w:footnote w:type="continuationSeparator" w:id="0">
    <w:p w14:paraId="5F12C34A" w14:textId="77777777" w:rsidR="00E74D3D" w:rsidRDefault="00E74D3D" w:rsidP="00621422">
      <w:r>
        <w:continuationSeparator/>
      </w:r>
    </w:p>
  </w:footnote>
  <w:footnote w:type="continuationNotice" w:id="1">
    <w:p w14:paraId="7F96DA12" w14:textId="77777777" w:rsidR="00E74D3D" w:rsidRDefault="00E74D3D"/>
  </w:footnote>
  <w:footnote w:id="2">
    <w:p w14:paraId="4DB521EE" w14:textId="77777777" w:rsidR="00193476" w:rsidRPr="00193476" w:rsidRDefault="00193476" w:rsidP="00ED506B">
      <w:pPr>
        <w:ind w:left="720" w:hanging="720"/>
        <w:rPr>
          <w:rFonts w:ascii="Times New Roman" w:eastAsia="Times New Roman" w:hAnsi="Times New Roman" w:cs="Times New Roman"/>
          <w:color w:val="0563C1" w:themeColor="hyperlink"/>
          <w:u w:val="single"/>
        </w:rPr>
      </w:pPr>
      <w:r w:rsidRPr="2AF756AB">
        <w:rPr>
          <w:rStyle w:val="FootnoteReference"/>
          <w:rFonts w:ascii="Calibri" w:eastAsia="Calibri" w:hAnsi="Calibri" w:cs="Calibri"/>
          <w:sz w:val="18"/>
          <w:szCs w:val="18"/>
        </w:rPr>
        <w:footnoteRef/>
      </w:r>
      <w:r w:rsidRPr="00E45BD3">
        <w:rPr>
          <w:rFonts w:ascii="Calibri" w:eastAsia="Calibri" w:hAnsi="Calibri" w:cs="Calibri"/>
          <w:sz w:val="18"/>
          <w:szCs w:val="18"/>
        </w:rPr>
        <w:t xml:space="preserve"> </w:t>
      </w:r>
      <w:r w:rsidRPr="00DD5905">
        <w:rPr>
          <w:rFonts w:eastAsia="Calibri" w:cstheme="minorHAnsi"/>
          <w:sz w:val="20"/>
          <w:szCs w:val="20"/>
        </w:rPr>
        <w:t xml:space="preserve">American Academy of Addiction Psychiatry. (2015). </w:t>
      </w:r>
      <w:r w:rsidRPr="00DD5905">
        <w:rPr>
          <w:rFonts w:eastAsia="Calibri" w:cstheme="minorHAnsi"/>
          <w:i/>
          <w:iCs/>
          <w:sz w:val="20"/>
          <w:szCs w:val="20"/>
        </w:rPr>
        <w:t>Nicotine Dependence</w:t>
      </w:r>
      <w:r w:rsidRPr="00DD5905">
        <w:rPr>
          <w:rFonts w:eastAsia="Calibri" w:cstheme="minorHAnsi"/>
          <w:sz w:val="20"/>
          <w:szCs w:val="20"/>
        </w:rPr>
        <w:t xml:space="preserve">. </w:t>
      </w:r>
      <w:hyperlink r:id="rId1" w:history="1">
        <w:r w:rsidRPr="00DD5905">
          <w:rPr>
            <w:rStyle w:val="Hyperlink"/>
            <w:rFonts w:eastAsia="Times New Roman" w:cstheme="minorHAnsi"/>
            <w:sz w:val="20"/>
            <w:szCs w:val="20"/>
          </w:rPr>
          <w:t>https://www.aaap.org/wp-content/uploads/2015/06/AAAP-nicotine-dependence-FINAL.pdf</w:t>
        </w:r>
      </w:hyperlink>
      <w:r>
        <w:rPr>
          <w:rFonts w:cstheme="minorHAnsi"/>
          <w:sz w:val="20"/>
          <w:szCs w:val="20"/>
        </w:rPr>
        <w:t xml:space="preserve"> </w:t>
      </w:r>
    </w:p>
  </w:footnote>
  <w:footnote w:id="3">
    <w:p w14:paraId="423763B5" w14:textId="67C41553" w:rsidR="00A158B5" w:rsidRPr="00E763C0" w:rsidRDefault="00A158B5" w:rsidP="00E771AA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 w:cstheme="minorHAnsi"/>
          <w:sz w:val="20"/>
          <w:szCs w:val="20"/>
        </w:rPr>
      </w:pPr>
      <w:r w:rsidRPr="00F10A54">
        <w:rPr>
          <w:rStyle w:val="FootnoteReference"/>
          <w:rFonts w:asciiTheme="minorHAnsi" w:hAnsiTheme="minorHAnsi" w:cstheme="minorHAnsi"/>
          <w:sz w:val="18"/>
          <w:szCs w:val="18"/>
        </w:rPr>
        <w:footnoteRef/>
      </w:r>
      <w:r w:rsidRPr="00F10A54">
        <w:rPr>
          <w:rFonts w:asciiTheme="minorHAnsi" w:hAnsiTheme="minorHAnsi" w:cstheme="minorHAnsi"/>
          <w:sz w:val="18"/>
          <w:szCs w:val="18"/>
        </w:rPr>
        <w:t xml:space="preserve"> </w:t>
      </w:r>
      <w:r w:rsidR="00F10A54" w:rsidRPr="00DD5905">
        <w:rPr>
          <w:rFonts w:asciiTheme="minorHAnsi" w:hAnsiTheme="minorHAnsi" w:cstheme="minorHAnsi"/>
          <w:sz w:val="20"/>
          <w:szCs w:val="20"/>
        </w:rPr>
        <w:t xml:space="preserve">Lawrence, D., Mitrou, F., &amp; Zubrick, S. R. (2011). Non-specific psychological distress, smoking </w:t>
      </w:r>
      <w:proofErr w:type="gramStart"/>
      <w:r w:rsidR="00F10A54" w:rsidRPr="00DD5905">
        <w:rPr>
          <w:rFonts w:asciiTheme="minorHAnsi" w:hAnsiTheme="minorHAnsi" w:cstheme="minorHAnsi"/>
          <w:sz w:val="20"/>
          <w:szCs w:val="20"/>
        </w:rPr>
        <w:t>status</w:t>
      </w:r>
      <w:proofErr w:type="gramEnd"/>
      <w:r w:rsidR="00F10A54" w:rsidRPr="00DD5905">
        <w:rPr>
          <w:rFonts w:asciiTheme="minorHAnsi" w:hAnsiTheme="minorHAnsi" w:cstheme="minorHAnsi"/>
          <w:sz w:val="20"/>
          <w:szCs w:val="20"/>
        </w:rPr>
        <w:t xml:space="preserve"> and smoking cessation: United States National Health Interview Survey 2005. </w:t>
      </w:r>
      <w:r w:rsidR="00F10A54" w:rsidRPr="00DD5905">
        <w:rPr>
          <w:rFonts w:asciiTheme="minorHAnsi" w:hAnsiTheme="minorHAnsi" w:cstheme="minorHAnsi"/>
          <w:i/>
          <w:iCs/>
          <w:sz w:val="20"/>
          <w:szCs w:val="20"/>
        </w:rPr>
        <w:t>BMC Public Health</w:t>
      </w:r>
      <w:r w:rsidR="00F10A54" w:rsidRPr="00DD5905">
        <w:rPr>
          <w:rFonts w:asciiTheme="minorHAnsi" w:hAnsiTheme="minorHAnsi" w:cstheme="minorHAnsi"/>
          <w:sz w:val="20"/>
          <w:szCs w:val="20"/>
        </w:rPr>
        <w:t xml:space="preserve">, </w:t>
      </w:r>
      <w:r w:rsidR="00F10A54" w:rsidRPr="00DD5905">
        <w:rPr>
          <w:rFonts w:asciiTheme="minorHAnsi" w:hAnsiTheme="minorHAnsi" w:cstheme="minorHAnsi"/>
          <w:i/>
          <w:iCs/>
          <w:sz w:val="20"/>
          <w:szCs w:val="20"/>
        </w:rPr>
        <w:t>11</w:t>
      </w:r>
      <w:r w:rsidR="00F10A54" w:rsidRPr="00DD5905">
        <w:rPr>
          <w:rFonts w:asciiTheme="minorHAnsi" w:hAnsiTheme="minorHAnsi" w:cstheme="minorHAnsi"/>
          <w:sz w:val="20"/>
          <w:szCs w:val="20"/>
        </w:rPr>
        <w:t xml:space="preserve">(1). </w:t>
      </w:r>
      <w:hyperlink r:id="rId2" w:history="1">
        <w:r w:rsidR="00B51194" w:rsidRPr="00E763C0">
          <w:rPr>
            <w:rStyle w:val="Hyperlink"/>
            <w:rFonts w:asciiTheme="minorHAnsi" w:hAnsiTheme="minorHAnsi" w:cstheme="minorHAnsi"/>
            <w:sz w:val="20"/>
            <w:szCs w:val="20"/>
          </w:rPr>
          <w:t>https://doi.org/10.1186/1471-2458-11-256</w:t>
        </w:r>
      </w:hyperlink>
      <w:r w:rsidR="00B51194" w:rsidRPr="00E763C0">
        <w:rPr>
          <w:rFonts w:asciiTheme="minorHAnsi" w:hAnsiTheme="minorHAnsi" w:cstheme="minorHAnsi"/>
          <w:sz w:val="20"/>
          <w:szCs w:val="20"/>
        </w:rPr>
        <w:t xml:space="preserve"> </w:t>
      </w:r>
    </w:p>
  </w:footnote>
  <w:footnote w:id="4">
    <w:p w14:paraId="1A36196B" w14:textId="34EA5FC4" w:rsidR="006003AE" w:rsidRPr="00E763C0" w:rsidRDefault="006003AE" w:rsidP="00ED506B">
      <w:pPr>
        <w:ind w:left="720" w:hanging="720"/>
        <w:rPr>
          <w:sz w:val="20"/>
          <w:szCs w:val="20"/>
        </w:rPr>
      </w:pPr>
      <w:r w:rsidRPr="00E763C0">
        <w:rPr>
          <w:sz w:val="20"/>
          <w:szCs w:val="20"/>
          <w:vertAlign w:val="superscript"/>
        </w:rPr>
        <w:footnoteRef/>
      </w:r>
      <w:r w:rsidRPr="00E763C0">
        <w:rPr>
          <w:sz w:val="20"/>
          <w:szCs w:val="20"/>
        </w:rPr>
        <w:t xml:space="preserve"> CDC. (2019, March 26). African Americans and Tobacco Use. Centers for Disease Control and Prevention. https://www.cdc.gov/tobacco/disparities/african-americans/index.htm</w:t>
      </w:r>
    </w:p>
  </w:footnote>
  <w:footnote w:id="5">
    <w:p w14:paraId="6ACE15F9" w14:textId="2C13EB47" w:rsidR="008575A4" w:rsidRPr="00A61A2D" w:rsidRDefault="008575A4" w:rsidP="00ED506B">
      <w:pPr>
        <w:ind w:left="720" w:hanging="720"/>
        <w:rPr>
          <w:sz w:val="18"/>
          <w:szCs w:val="18"/>
        </w:rPr>
      </w:pPr>
      <w:r w:rsidRPr="00E763C0">
        <w:rPr>
          <w:sz w:val="20"/>
          <w:szCs w:val="20"/>
          <w:vertAlign w:val="superscript"/>
        </w:rPr>
        <w:footnoteRef/>
      </w:r>
      <w:r w:rsidRPr="00E763C0">
        <w:rPr>
          <w:sz w:val="20"/>
          <w:szCs w:val="20"/>
        </w:rPr>
        <w:t xml:space="preserve"> </w:t>
      </w:r>
      <w:r w:rsidR="00A61A2D" w:rsidRPr="00E763C0">
        <w:rPr>
          <w:sz w:val="20"/>
          <w:szCs w:val="20"/>
        </w:rPr>
        <w:t>Truth Initiative. (2015, December 15). Achieving health equity in tobacco control. Truth Initiative. https://truthinitiative.org/research-resources/targeted-communities/achieving-health-equity-tobacco-control</w:t>
      </w:r>
    </w:p>
  </w:footnote>
  <w:footnote w:id="6">
    <w:p w14:paraId="7CF400A0" w14:textId="77777777" w:rsidR="004047E2" w:rsidRPr="008935D2" w:rsidRDefault="004047E2" w:rsidP="004047E2">
      <w:pPr>
        <w:pStyle w:val="FootnoteText"/>
        <w:ind w:left="720" w:hanging="720"/>
      </w:pPr>
      <w:r w:rsidRPr="008935D2">
        <w:rPr>
          <w:rStyle w:val="FootnoteReference"/>
        </w:rPr>
        <w:footnoteRef/>
      </w:r>
      <w:r w:rsidRPr="008935D2">
        <w:t xml:space="preserve"> Centers for Disease Control and Prevention. (2020, December 8). </w:t>
      </w:r>
      <w:r w:rsidRPr="008935D2">
        <w:rPr>
          <w:i/>
          <w:iCs/>
        </w:rPr>
        <w:t>PLACES</w:t>
      </w:r>
      <w:r w:rsidRPr="008935D2">
        <w:t xml:space="preserve"> </w:t>
      </w:r>
      <w:r w:rsidRPr="008935D2">
        <w:rPr>
          <w:i/>
          <w:iCs/>
        </w:rPr>
        <w:t>Methodology</w:t>
      </w:r>
      <w:proofErr w:type="gramStart"/>
      <w:r w:rsidRPr="008935D2">
        <w:t xml:space="preserve">.  </w:t>
      </w:r>
      <w:proofErr w:type="gramEnd"/>
      <w:r w:rsidRPr="008935D2">
        <w:fldChar w:fldCharType="begin"/>
      </w:r>
      <w:r w:rsidRPr="008935D2">
        <w:instrText xml:space="preserve"> HYPERLINK "https://www.cdc.gov/places/methodology/" </w:instrText>
      </w:r>
      <w:r w:rsidRPr="008935D2">
        <w:fldChar w:fldCharType="separate"/>
      </w:r>
      <w:r w:rsidRPr="008935D2">
        <w:rPr>
          <w:rStyle w:val="Hyperlink"/>
        </w:rPr>
        <w:t>https://www.cdc.gov/places/methodology/</w:t>
      </w:r>
      <w:r w:rsidRPr="008935D2">
        <w:fldChar w:fldCharType="end"/>
      </w:r>
      <w:r w:rsidRPr="008935D2">
        <w:t xml:space="preserve"> </w:t>
      </w:r>
    </w:p>
  </w:footnote>
  <w:footnote w:id="7">
    <w:p w14:paraId="3C219791" w14:textId="77777777" w:rsidR="00754324" w:rsidRPr="008935D2" w:rsidRDefault="00754324" w:rsidP="00754324">
      <w:pPr>
        <w:pStyle w:val="FootnoteText"/>
        <w:ind w:left="720" w:hanging="720"/>
      </w:pPr>
      <w:r w:rsidRPr="008935D2">
        <w:rPr>
          <w:rStyle w:val="FootnoteReference"/>
        </w:rPr>
        <w:footnoteRef/>
      </w:r>
      <w:r w:rsidRPr="008935D2">
        <w:t xml:space="preserve"> Centers for Disease Control and Prevention. (2020, December 8). </w:t>
      </w:r>
      <w:r w:rsidRPr="008935D2">
        <w:rPr>
          <w:i/>
          <w:iCs/>
        </w:rPr>
        <w:t>PLACES</w:t>
      </w:r>
      <w:r w:rsidRPr="008935D2">
        <w:t xml:space="preserve"> </w:t>
      </w:r>
      <w:r w:rsidRPr="008935D2">
        <w:rPr>
          <w:i/>
          <w:iCs/>
        </w:rPr>
        <w:t>Methodology</w:t>
      </w:r>
      <w:r w:rsidRPr="008935D2">
        <w:t xml:space="preserve">. </w:t>
      </w:r>
      <w:hyperlink r:id="rId3" w:history="1">
        <w:r w:rsidRPr="008935D2">
          <w:rPr>
            <w:rStyle w:val="Hyperlink"/>
          </w:rPr>
          <w:t>https://www.cdc.gov/places/methodology/</w:t>
        </w:r>
      </w:hyperlink>
    </w:p>
  </w:footnote>
  <w:footnote w:id="8">
    <w:p w14:paraId="50DFA06A" w14:textId="77777777" w:rsidR="00410532" w:rsidRPr="008935D2" w:rsidRDefault="00410532" w:rsidP="00203349">
      <w:pPr>
        <w:ind w:left="720" w:hanging="720"/>
        <w:rPr>
          <w:sz w:val="20"/>
          <w:szCs w:val="20"/>
        </w:rPr>
      </w:pPr>
      <w:r w:rsidRPr="008935D2">
        <w:rPr>
          <w:sz w:val="20"/>
          <w:szCs w:val="20"/>
          <w:vertAlign w:val="superscript"/>
        </w:rPr>
        <w:footnoteRef/>
      </w:r>
      <w:r w:rsidRPr="008935D2">
        <w:rPr>
          <w:sz w:val="20"/>
          <w:szCs w:val="20"/>
        </w:rPr>
        <w:t xml:space="preserve"> CDC - BRFSS. (2019). 2019 BRFSS Questionnaire. </w:t>
      </w:r>
      <w:hyperlink r:id="rId4" w:history="1">
        <w:r w:rsidRPr="008935D2">
          <w:rPr>
            <w:rStyle w:val="Hyperlink"/>
            <w:sz w:val="20"/>
            <w:szCs w:val="20"/>
          </w:rPr>
          <w:t>https://www.cdc.gov/brfss/questionnaires/pdf-ques/2019-BRFSS-Questionnaire-508.pdf</w:t>
        </w:r>
      </w:hyperlink>
      <w:r w:rsidRPr="008935D2">
        <w:rPr>
          <w:sz w:val="20"/>
          <w:szCs w:val="20"/>
        </w:rPr>
        <w:t xml:space="preserve"> </w:t>
      </w:r>
    </w:p>
  </w:footnote>
  <w:footnote w:id="9">
    <w:p w14:paraId="533DF97A" w14:textId="318F46A3" w:rsidR="00757EF9" w:rsidRPr="006003AE" w:rsidRDefault="00757EF9" w:rsidP="00131112">
      <w:pPr>
        <w:ind w:left="720" w:hanging="720"/>
        <w:rPr>
          <w:sz w:val="18"/>
          <w:szCs w:val="18"/>
        </w:rPr>
      </w:pPr>
      <w:r w:rsidRPr="008935D2">
        <w:rPr>
          <w:sz w:val="20"/>
          <w:szCs w:val="20"/>
          <w:vertAlign w:val="superscript"/>
        </w:rPr>
        <w:footnoteRef/>
      </w:r>
      <w:r w:rsidRPr="008935D2">
        <w:rPr>
          <w:sz w:val="20"/>
          <w:szCs w:val="20"/>
        </w:rPr>
        <w:t xml:space="preserve"> </w:t>
      </w:r>
      <w:r w:rsidR="00744173" w:rsidRPr="008935D2">
        <w:rPr>
          <w:sz w:val="20"/>
          <w:szCs w:val="20"/>
        </w:rPr>
        <w:t>Centers for Disease Control and Prevention</w:t>
      </w:r>
      <w:r w:rsidR="00DC5FD6" w:rsidRPr="008935D2">
        <w:rPr>
          <w:sz w:val="20"/>
          <w:szCs w:val="20"/>
        </w:rPr>
        <w:t>. (2020, December 8). </w:t>
      </w:r>
      <w:r w:rsidR="00131112" w:rsidRPr="008935D2">
        <w:rPr>
          <w:i/>
          <w:iCs/>
          <w:sz w:val="20"/>
          <w:szCs w:val="20"/>
        </w:rPr>
        <w:t>PLACES Measure Definitions</w:t>
      </w:r>
      <w:proofErr w:type="gramStart"/>
      <w:r w:rsidR="00DC5FD6" w:rsidRPr="008935D2">
        <w:rPr>
          <w:sz w:val="20"/>
          <w:szCs w:val="20"/>
        </w:rPr>
        <w:t xml:space="preserve">.  </w:t>
      </w:r>
      <w:proofErr w:type="gramEnd"/>
      <w:hyperlink r:id="rId5" w:history="1">
        <w:r w:rsidR="00F07DD0" w:rsidRPr="008935D2">
          <w:rPr>
            <w:rStyle w:val="Hyperlink"/>
            <w:sz w:val="20"/>
            <w:szCs w:val="20"/>
          </w:rPr>
          <w:t>https://www.cdc.gov/places/measure-definitions</w:t>
        </w:r>
      </w:hyperlink>
      <w:r w:rsidR="00F07DD0">
        <w:rPr>
          <w:sz w:val="18"/>
          <w:szCs w:val="18"/>
        </w:rPr>
        <w:t xml:space="preserve"> </w:t>
      </w:r>
    </w:p>
  </w:footnote>
  <w:footnote w:id="10">
    <w:p w14:paraId="5E94FF7F" w14:textId="77777777" w:rsidR="0053311B" w:rsidRDefault="0053311B" w:rsidP="00203349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Centers for Disease Control and Prevention. (2020, December 8). </w:t>
      </w:r>
      <w:r>
        <w:rPr>
          <w:i/>
          <w:iCs/>
        </w:rPr>
        <w:t>PLACES Methodology</w:t>
      </w:r>
      <w:r>
        <w:t xml:space="preserve">. </w:t>
      </w:r>
      <w:hyperlink r:id="rId6" w:history="1">
        <w:r w:rsidRPr="006543EC">
          <w:rPr>
            <w:rStyle w:val="Hyperlink"/>
          </w:rPr>
          <w:t>https://www.cdc.gov/places/methodology/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AF756AB" w14:paraId="6D2D23BB" w14:textId="77777777" w:rsidTr="00A63ABE">
      <w:tc>
        <w:tcPr>
          <w:tcW w:w="3120" w:type="dxa"/>
        </w:tcPr>
        <w:p w14:paraId="313D922A" w14:textId="73796EFE" w:rsidR="2AF756AB" w:rsidRDefault="2AF756AB" w:rsidP="00A63ABE">
          <w:pPr>
            <w:pStyle w:val="Header"/>
            <w:ind w:left="-115"/>
          </w:pPr>
        </w:p>
      </w:tc>
      <w:tc>
        <w:tcPr>
          <w:tcW w:w="3120" w:type="dxa"/>
        </w:tcPr>
        <w:p w14:paraId="564138C3" w14:textId="4ED85F37" w:rsidR="2AF756AB" w:rsidRDefault="2AF756AB" w:rsidP="00A63ABE">
          <w:pPr>
            <w:pStyle w:val="Header"/>
            <w:jc w:val="center"/>
          </w:pPr>
        </w:p>
      </w:tc>
      <w:tc>
        <w:tcPr>
          <w:tcW w:w="3120" w:type="dxa"/>
        </w:tcPr>
        <w:p w14:paraId="17EEED0D" w14:textId="4E0DA5A3" w:rsidR="2AF756AB" w:rsidRDefault="2AF756AB" w:rsidP="00A63ABE">
          <w:pPr>
            <w:pStyle w:val="Header"/>
            <w:ind w:right="-115"/>
            <w:jc w:val="right"/>
          </w:pPr>
        </w:p>
      </w:tc>
    </w:tr>
  </w:tbl>
  <w:p w14:paraId="1C84FF2C" w14:textId="301AA3F9" w:rsidR="2AF756AB" w:rsidRDefault="2AF756AB" w:rsidP="00A63A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F5C"/>
    <w:multiLevelType w:val="hybridMultilevel"/>
    <w:tmpl w:val="B17C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5438"/>
    <w:multiLevelType w:val="hybridMultilevel"/>
    <w:tmpl w:val="ED9284B8"/>
    <w:lvl w:ilvl="0" w:tplc="03540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10A5F"/>
    <w:multiLevelType w:val="hybridMultilevel"/>
    <w:tmpl w:val="314A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C497D"/>
    <w:multiLevelType w:val="hybridMultilevel"/>
    <w:tmpl w:val="EBBC194C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87D76"/>
    <w:multiLevelType w:val="hybridMultilevel"/>
    <w:tmpl w:val="CC84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0008B"/>
    <w:multiLevelType w:val="hybridMultilevel"/>
    <w:tmpl w:val="FE36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B07D7"/>
    <w:multiLevelType w:val="hybridMultilevel"/>
    <w:tmpl w:val="CD7222D0"/>
    <w:lvl w:ilvl="0" w:tplc="C6C285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DF4C52"/>
    <w:multiLevelType w:val="hybridMultilevel"/>
    <w:tmpl w:val="450A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34212"/>
    <w:multiLevelType w:val="hybridMultilevel"/>
    <w:tmpl w:val="DD243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8A01D1"/>
    <w:multiLevelType w:val="hybridMultilevel"/>
    <w:tmpl w:val="94AAB6E8"/>
    <w:lvl w:ilvl="0" w:tplc="C6C28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0009C"/>
    <w:multiLevelType w:val="hybridMultilevel"/>
    <w:tmpl w:val="8610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24E1C25"/>
    <w:multiLevelType w:val="hybridMultilevel"/>
    <w:tmpl w:val="4AC868FA"/>
    <w:lvl w:ilvl="0" w:tplc="3168A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521E3"/>
    <w:multiLevelType w:val="hybridMultilevel"/>
    <w:tmpl w:val="5A0CF5E2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820BD"/>
    <w:multiLevelType w:val="hybridMultilevel"/>
    <w:tmpl w:val="351E3E82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A5DB5"/>
    <w:multiLevelType w:val="hybridMultilevel"/>
    <w:tmpl w:val="7BA0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01BA4"/>
    <w:multiLevelType w:val="hybridMultilevel"/>
    <w:tmpl w:val="F1A28314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45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8B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6F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42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2C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20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D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A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B06454"/>
    <w:multiLevelType w:val="hybridMultilevel"/>
    <w:tmpl w:val="4F1C5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10"/>
  </w:num>
  <w:num w:numId="8">
    <w:abstractNumId w:val="1"/>
  </w:num>
  <w:num w:numId="9">
    <w:abstractNumId w:val="13"/>
  </w:num>
  <w:num w:numId="10">
    <w:abstractNumId w:val="3"/>
  </w:num>
  <w:num w:numId="11">
    <w:abstractNumId w:val="15"/>
  </w:num>
  <w:num w:numId="12">
    <w:abstractNumId w:val="2"/>
  </w:num>
  <w:num w:numId="13">
    <w:abstractNumId w:val="12"/>
  </w:num>
  <w:num w:numId="14">
    <w:abstractNumId w:val="5"/>
  </w:num>
  <w:num w:numId="15">
    <w:abstractNumId w:val="8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B7"/>
    <w:rsid w:val="000005FF"/>
    <w:rsid w:val="00005E13"/>
    <w:rsid w:val="00010A16"/>
    <w:rsid w:val="00011121"/>
    <w:rsid w:val="00021756"/>
    <w:rsid w:val="000510DD"/>
    <w:rsid w:val="00051BAB"/>
    <w:rsid w:val="00082B14"/>
    <w:rsid w:val="00082C3D"/>
    <w:rsid w:val="00083C18"/>
    <w:rsid w:val="0008657A"/>
    <w:rsid w:val="000905B5"/>
    <w:rsid w:val="000A365A"/>
    <w:rsid w:val="000B0048"/>
    <w:rsid w:val="000B2D9B"/>
    <w:rsid w:val="000B6650"/>
    <w:rsid w:val="000B66EA"/>
    <w:rsid w:val="000D5C93"/>
    <w:rsid w:val="000E021D"/>
    <w:rsid w:val="000F2278"/>
    <w:rsid w:val="000F2C86"/>
    <w:rsid w:val="000F52A4"/>
    <w:rsid w:val="00106957"/>
    <w:rsid w:val="001078E9"/>
    <w:rsid w:val="00110D4B"/>
    <w:rsid w:val="00110DB3"/>
    <w:rsid w:val="00115761"/>
    <w:rsid w:val="00123A99"/>
    <w:rsid w:val="0012651C"/>
    <w:rsid w:val="00131112"/>
    <w:rsid w:val="00143CCB"/>
    <w:rsid w:val="00144D3F"/>
    <w:rsid w:val="00180268"/>
    <w:rsid w:val="00181F4B"/>
    <w:rsid w:val="00190959"/>
    <w:rsid w:val="00193476"/>
    <w:rsid w:val="00196195"/>
    <w:rsid w:val="001A3065"/>
    <w:rsid w:val="001A5227"/>
    <w:rsid w:val="001B1395"/>
    <w:rsid w:val="001B437D"/>
    <w:rsid w:val="001B5F77"/>
    <w:rsid w:val="001B6722"/>
    <w:rsid w:val="001F60A7"/>
    <w:rsid w:val="00203349"/>
    <w:rsid w:val="00206882"/>
    <w:rsid w:val="002439D6"/>
    <w:rsid w:val="0024602B"/>
    <w:rsid w:val="00247C44"/>
    <w:rsid w:val="002519FD"/>
    <w:rsid w:val="002568FB"/>
    <w:rsid w:val="00262545"/>
    <w:rsid w:val="002649BE"/>
    <w:rsid w:val="00270A4D"/>
    <w:rsid w:val="00270F6B"/>
    <w:rsid w:val="0027395A"/>
    <w:rsid w:val="00280AAC"/>
    <w:rsid w:val="002819C0"/>
    <w:rsid w:val="00282585"/>
    <w:rsid w:val="00284A7D"/>
    <w:rsid w:val="00284D7D"/>
    <w:rsid w:val="002B6F8E"/>
    <w:rsid w:val="002D16BA"/>
    <w:rsid w:val="002D31E1"/>
    <w:rsid w:val="002E722D"/>
    <w:rsid w:val="002F0840"/>
    <w:rsid w:val="00302737"/>
    <w:rsid w:val="00313870"/>
    <w:rsid w:val="00314819"/>
    <w:rsid w:val="00326F71"/>
    <w:rsid w:val="003356A3"/>
    <w:rsid w:val="003445B4"/>
    <w:rsid w:val="0034581B"/>
    <w:rsid w:val="00346B53"/>
    <w:rsid w:val="003628E7"/>
    <w:rsid w:val="0036745A"/>
    <w:rsid w:val="003A178B"/>
    <w:rsid w:val="003A2AA6"/>
    <w:rsid w:val="003C2660"/>
    <w:rsid w:val="003C7FF1"/>
    <w:rsid w:val="003D1192"/>
    <w:rsid w:val="003D7223"/>
    <w:rsid w:val="003E542E"/>
    <w:rsid w:val="003E6E8E"/>
    <w:rsid w:val="003E7519"/>
    <w:rsid w:val="003F096A"/>
    <w:rsid w:val="003F1C49"/>
    <w:rsid w:val="003F50AD"/>
    <w:rsid w:val="004047E2"/>
    <w:rsid w:val="00410532"/>
    <w:rsid w:val="00412D30"/>
    <w:rsid w:val="00421D3A"/>
    <w:rsid w:val="004323B2"/>
    <w:rsid w:val="00433CEA"/>
    <w:rsid w:val="0043612D"/>
    <w:rsid w:val="004559BB"/>
    <w:rsid w:val="00466402"/>
    <w:rsid w:val="00470ABC"/>
    <w:rsid w:val="00473EB9"/>
    <w:rsid w:val="004750C0"/>
    <w:rsid w:val="0048514A"/>
    <w:rsid w:val="004A7D20"/>
    <w:rsid w:val="004B1F59"/>
    <w:rsid w:val="004C1E94"/>
    <w:rsid w:val="004C4698"/>
    <w:rsid w:val="004F4D25"/>
    <w:rsid w:val="00507D2A"/>
    <w:rsid w:val="005178B8"/>
    <w:rsid w:val="00523739"/>
    <w:rsid w:val="00526ECB"/>
    <w:rsid w:val="0053232F"/>
    <w:rsid w:val="0053311B"/>
    <w:rsid w:val="00534C31"/>
    <w:rsid w:val="00541485"/>
    <w:rsid w:val="005429A8"/>
    <w:rsid w:val="005429F9"/>
    <w:rsid w:val="0054371F"/>
    <w:rsid w:val="00546906"/>
    <w:rsid w:val="00547A78"/>
    <w:rsid w:val="00550602"/>
    <w:rsid w:val="00570352"/>
    <w:rsid w:val="00572023"/>
    <w:rsid w:val="005975FF"/>
    <w:rsid w:val="005A02F6"/>
    <w:rsid w:val="005A7A81"/>
    <w:rsid w:val="005B284C"/>
    <w:rsid w:val="005B64F0"/>
    <w:rsid w:val="005C3985"/>
    <w:rsid w:val="006003AE"/>
    <w:rsid w:val="00601594"/>
    <w:rsid w:val="00602CDA"/>
    <w:rsid w:val="00605C6D"/>
    <w:rsid w:val="00621422"/>
    <w:rsid w:val="006411AF"/>
    <w:rsid w:val="006419B7"/>
    <w:rsid w:val="0064583E"/>
    <w:rsid w:val="00660E1B"/>
    <w:rsid w:val="00666C2B"/>
    <w:rsid w:val="006716B3"/>
    <w:rsid w:val="00673CC9"/>
    <w:rsid w:val="00694C94"/>
    <w:rsid w:val="006961F9"/>
    <w:rsid w:val="006A71C8"/>
    <w:rsid w:val="006B06E3"/>
    <w:rsid w:val="006B19EB"/>
    <w:rsid w:val="006C1731"/>
    <w:rsid w:val="006E19F6"/>
    <w:rsid w:val="006F6463"/>
    <w:rsid w:val="0070276E"/>
    <w:rsid w:val="00712BC8"/>
    <w:rsid w:val="00717E59"/>
    <w:rsid w:val="007236B1"/>
    <w:rsid w:val="007252ED"/>
    <w:rsid w:val="00737E19"/>
    <w:rsid w:val="00744173"/>
    <w:rsid w:val="007441BE"/>
    <w:rsid w:val="007452C4"/>
    <w:rsid w:val="00754324"/>
    <w:rsid w:val="00757EF9"/>
    <w:rsid w:val="00774EC9"/>
    <w:rsid w:val="007A0974"/>
    <w:rsid w:val="007A27EE"/>
    <w:rsid w:val="007C5A29"/>
    <w:rsid w:val="007C5E3A"/>
    <w:rsid w:val="007C5F22"/>
    <w:rsid w:val="007D09A4"/>
    <w:rsid w:val="007F6344"/>
    <w:rsid w:val="00806898"/>
    <w:rsid w:val="0081035A"/>
    <w:rsid w:val="008277ED"/>
    <w:rsid w:val="00834819"/>
    <w:rsid w:val="00841D17"/>
    <w:rsid w:val="008531B6"/>
    <w:rsid w:val="00856A8E"/>
    <w:rsid w:val="008575A4"/>
    <w:rsid w:val="00860DC3"/>
    <w:rsid w:val="0087007A"/>
    <w:rsid w:val="008738D1"/>
    <w:rsid w:val="00892CAF"/>
    <w:rsid w:val="008935D2"/>
    <w:rsid w:val="008A4D3B"/>
    <w:rsid w:val="008A5B6A"/>
    <w:rsid w:val="008B10AD"/>
    <w:rsid w:val="008B110E"/>
    <w:rsid w:val="008B17B9"/>
    <w:rsid w:val="008C0045"/>
    <w:rsid w:val="008E03E1"/>
    <w:rsid w:val="008E1988"/>
    <w:rsid w:val="008E6E54"/>
    <w:rsid w:val="008E7BA8"/>
    <w:rsid w:val="009014F7"/>
    <w:rsid w:val="00911AB4"/>
    <w:rsid w:val="009245F3"/>
    <w:rsid w:val="00930000"/>
    <w:rsid w:val="00934E32"/>
    <w:rsid w:val="00936B96"/>
    <w:rsid w:val="009372D5"/>
    <w:rsid w:val="0094561A"/>
    <w:rsid w:val="00952762"/>
    <w:rsid w:val="009666F9"/>
    <w:rsid w:val="009B059E"/>
    <w:rsid w:val="009B2859"/>
    <w:rsid w:val="009C121C"/>
    <w:rsid w:val="009D1D3C"/>
    <w:rsid w:val="009D33A5"/>
    <w:rsid w:val="009E3A86"/>
    <w:rsid w:val="009E56D4"/>
    <w:rsid w:val="009F6140"/>
    <w:rsid w:val="00A158B5"/>
    <w:rsid w:val="00A16408"/>
    <w:rsid w:val="00A25579"/>
    <w:rsid w:val="00A31860"/>
    <w:rsid w:val="00A34BBA"/>
    <w:rsid w:val="00A4647E"/>
    <w:rsid w:val="00A53C73"/>
    <w:rsid w:val="00A60D2A"/>
    <w:rsid w:val="00A6142F"/>
    <w:rsid w:val="00A61A2D"/>
    <w:rsid w:val="00A6340F"/>
    <w:rsid w:val="00A63ABE"/>
    <w:rsid w:val="00A73104"/>
    <w:rsid w:val="00A7492B"/>
    <w:rsid w:val="00A75AB7"/>
    <w:rsid w:val="00A85E6C"/>
    <w:rsid w:val="00A9021B"/>
    <w:rsid w:val="00A90EF3"/>
    <w:rsid w:val="00A96381"/>
    <w:rsid w:val="00AA30DA"/>
    <w:rsid w:val="00AA5AB9"/>
    <w:rsid w:val="00AB5702"/>
    <w:rsid w:val="00AB6A70"/>
    <w:rsid w:val="00AC3DA4"/>
    <w:rsid w:val="00AC6F52"/>
    <w:rsid w:val="00AC7FA5"/>
    <w:rsid w:val="00AE261C"/>
    <w:rsid w:val="00AF01CB"/>
    <w:rsid w:val="00AF1F83"/>
    <w:rsid w:val="00AF5B71"/>
    <w:rsid w:val="00B06E73"/>
    <w:rsid w:val="00B105B2"/>
    <w:rsid w:val="00B21683"/>
    <w:rsid w:val="00B25724"/>
    <w:rsid w:val="00B26C07"/>
    <w:rsid w:val="00B409CF"/>
    <w:rsid w:val="00B41C30"/>
    <w:rsid w:val="00B4657C"/>
    <w:rsid w:val="00B4758F"/>
    <w:rsid w:val="00B51194"/>
    <w:rsid w:val="00B63E33"/>
    <w:rsid w:val="00B64CB5"/>
    <w:rsid w:val="00B67A16"/>
    <w:rsid w:val="00B77980"/>
    <w:rsid w:val="00B83BE0"/>
    <w:rsid w:val="00B8751F"/>
    <w:rsid w:val="00B8759A"/>
    <w:rsid w:val="00B93EF2"/>
    <w:rsid w:val="00BA13CF"/>
    <w:rsid w:val="00BA27F4"/>
    <w:rsid w:val="00BB0092"/>
    <w:rsid w:val="00BB03A5"/>
    <w:rsid w:val="00BB551D"/>
    <w:rsid w:val="00BB5CFF"/>
    <w:rsid w:val="00BE1A3D"/>
    <w:rsid w:val="00BE20A4"/>
    <w:rsid w:val="00BF135F"/>
    <w:rsid w:val="00C219DF"/>
    <w:rsid w:val="00C3440D"/>
    <w:rsid w:val="00C46ABC"/>
    <w:rsid w:val="00C55F73"/>
    <w:rsid w:val="00C57FC4"/>
    <w:rsid w:val="00C6060A"/>
    <w:rsid w:val="00C63158"/>
    <w:rsid w:val="00C660C4"/>
    <w:rsid w:val="00C674A9"/>
    <w:rsid w:val="00C744ED"/>
    <w:rsid w:val="00C755D7"/>
    <w:rsid w:val="00C8049E"/>
    <w:rsid w:val="00C8203C"/>
    <w:rsid w:val="00C86773"/>
    <w:rsid w:val="00C925C8"/>
    <w:rsid w:val="00CB0462"/>
    <w:rsid w:val="00CC3FE6"/>
    <w:rsid w:val="00CC6FD7"/>
    <w:rsid w:val="00CD416D"/>
    <w:rsid w:val="00CE1BB6"/>
    <w:rsid w:val="00CE59DF"/>
    <w:rsid w:val="00CF3CCE"/>
    <w:rsid w:val="00D07D4C"/>
    <w:rsid w:val="00D125B8"/>
    <w:rsid w:val="00D268F7"/>
    <w:rsid w:val="00D44CAC"/>
    <w:rsid w:val="00D644B5"/>
    <w:rsid w:val="00D73B5B"/>
    <w:rsid w:val="00D85C3D"/>
    <w:rsid w:val="00D91112"/>
    <w:rsid w:val="00DA16C3"/>
    <w:rsid w:val="00DB0E63"/>
    <w:rsid w:val="00DB34F4"/>
    <w:rsid w:val="00DC487E"/>
    <w:rsid w:val="00DC5FD6"/>
    <w:rsid w:val="00DD5905"/>
    <w:rsid w:val="00DE27E9"/>
    <w:rsid w:val="00DF02CD"/>
    <w:rsid w:val="00DF0361"/>
    <w:rsid w:val="00DF1559"/>
    <w:rsid w:val="00DF1B70"/>
    <w:rsid w:val="00E055D9"/>
    <w:rsid w:val="00E14A19"/>
    <w:rsid w:val="00E21A26"/>
    <w:rsid w:val="00E25B4C"/>
    <w:rsid w:val="00E31155"/>
    <w:rsid w:val="00E34396"/>
    <w:rsid w:val="00E35EAA"/>
    <w:rsid w:val="00E37DED"/>
    <w:rsid w:val="00E44903"/>
    <w:rsid w:val="00E45618"/>
    <w:rsid w:val="00E45BD3"/>
    <w:rsid w:val="00E50028"/>
    <w:rsid w:val="00E653B5"/>
    <w:rsid w:val="00E675E3"/>
    <w:rsid w:val="00E7035E"/>
    <w:rsid w:val="00E70D5B"/>
    <w:rsid w:val="00E72A29"/>
    <w:rsid w:val="00E74D3D"/>
    <w:rsid w:val="00E763C0"/>
    <w:rsid w:val="00E771AA"/>
    <w:rsid w:val="00E775B6"/>
    <w:rsid w:val="00E84D81"/>
    <w:rsid w:val="00E878B6"/>
    <w:rsid w:val="00E9567E"/>
    <w:rsid w:val="00EA3FE4"/>
    <w:rsid w:val="00EB031A"/>
    <w:rsid w:val="00EB1524"/>
    <w:rsid w:val="00EB62C8"/>
    <w:rsid w:val="00EC4349"/>
    <w:rsid w:val="00EC670E"/>
    <w:rsid w:val="00ED506B"/>
    <w:rsid w:val="00ED5DD3"/>
    <w:rsid w:val="00ED6351"/>
    <w:rsid w:val="00EE5730"/>
    <w:rsid w:val="00EF5A84"/>
    <w:rsid w:val="00F04FA0"/>
    <w:rsid w:val="00F07DD0"/>
    <w:rsid w:val="00F10A54"/>
    <w:rsid w:val="00F21109"/>
    <w:rsid w:val="00F25264"/>
    <w:rsid w:val="00F2637A"/>
    <w:rsid w:val="00F30479"/>
    <w:rsid w:val="00F43C8F"/>
    <w:rsid w:val="00F4748F"/>
    <w:rsid w:val="00F60533"/>
    <w:rsid w:val="00F629FE"/>
    <w:rsid w:val="00F8197B"/>
    <w:rsid w:val="00F94A4F"/>
    <w:rsid w:val="00F95258"/>
    <w:rsid w:val="00FA2DEE"/>
    <w:rsid w:val="00FA2ED2"/>
    <w:rsid w:val="00FB05D3"/>
    <w:rsid w:val="00FB3EF5"/>
    <w:rsid w:val="00FB4199"/>
    <w:rsid w:val="00FB5343"/>
    <w:rsid w:val="00FC1772"/>
    <w:rsid w:val="00FE0F3F"/>
    <w:rsid w:val="00FF2D1E"/>
    <w:rsid w:val="00FF69A2"/>
    <w:rsid w:val="085B61BB"/>
    <w:rsid w:val="243E09F9"/>
    <w:rsid w:val="2AF756AB"/>
    <w:rsid w:val="54A5B1BB"/>
    <w:rsid w:val="59C0A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C7E9"/>
  <w15:chartTrackingRefBased/>
  <w15:docId w15:val="{9A14F6A9-EF61-48D8-BCE3-4C45BE96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64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820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5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2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C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C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C3D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142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14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142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05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E13"/>
  </w:style>
  <w:style w:type="paragraph" w:styleId="Footer">
    <w:name w:val="footer"/>
    <w:basedOn w:val="Normal"/>
    <w:link w:val="FooterChar"/>
    <w:uiPriority w:val="99"/>
    <w:unhideWhenUsed/>
    <w:rsid w:val="00005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E13"/>
  </w:style>
  <w:style w:type="character" w:styleId="Mention">
    <w:name w:val="Mention"/>
    <w:basedOn w:val="DefaultParagraphFont"/>
    <w:uiPriority w:val="99"/>
    <w:unhideWhenUsed/>
    <w:rsid w:val="00E21A26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9A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10A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0F52A4"/>
  </w:style>
  <w:style w:type="character" w:customStyle="1" w:styleId="apple-converted-space">
    <w:name w:val="apple-converted-space"/>
    <w:basedOn w:val="DefaultParagraphFont"/>
    <w:rsid w:val="00DC5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5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hronicdata.cdc.gov/browse?category=500+Cities+%26+Places&amp;sortBy=newest&amp;utf8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cdc.gov/places/methodology/" TargetMode="External"/><Relationship Id="rId2" Type="http://schemas.openxmlformats.org/officeDocument/2006/relationships/hyperlink" Target="https://doi.org/10.1186/1471-2458-11-256" TargetMode="External"/><Relationship Id="rId1" Type="http://schemas.openxmlformats.org/officeDocument/2006/relationships/hyperlink" Target="https://www.aaap.org/wp-content/uploads/2015/06/AAAP-nicotine-dependence-FINAL.pdf" TargetMode="External"/><Relationship Id="rId6" Type="http://schemas.openxmlformats.org/officeDocument/2006/relationships/hyperlink" Target="https://www.cdc.gov/places/methodology/" TargetMode="External"/><Relationship Id="rId5" Type="http://schemas.openxmlformats.org/officeDocument/2006/relationships/hyperlink" Target="https://www.cdc.gov/places/measure-definitions" TargetMode="External"/><Relationship Id="rId4" Type="http://schemas.openxmlformats.org/officeDocument/2006/relationships/hyperlink" Target="https://www.cdc.gov/brfss/questionnaires/pdf-ques/2019-BRFSS-Questionnaire-50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ECAD8AFBF2D4EBE834A89ACAFB218" ma:contentTypeVersion="9" ma:contentTypeDescription="Create a new document." ma:contentTypeScope="" ma:versionID="6986354326b3733e693a13032c33e6d6">
  <xsd:schema xmlns:xsd="http://www.w3.org/2001/XMLSchema" xmlns:xs="http://www.w3.org/2001/XMLSchema" xmlns:p="http://schemas.microsoft.com/office/2006/metadata/properties" xmlns:ns2="deaf8126-21e8-4c99-9fac-c443735bdec3" xmlns:ns3="de3b979c-398f-4fcc-84ba-fbca5a69cc40" targetNamespace="http://schemas.microsoft.com/office/2006/metadata/properties" ma:root="true" ma:fieldsID="ddeffd073917239508872eb0db437c32" ns2:_="" ns3:_="">
    <xsd:import namespace="deaf8126-21e8-4c99-9fac-c443735bdec3"/>
    <xsd:import namespace="de3b979c-398f-4fcc-84ba-fbca5a69c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f8126-21e8-4c99-9fac-c443735bd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b979c-398f-4fcc-84ba-fbca5a69c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CBB4CC-7B67-234D-A63D-26B30BE958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83798A-4145-450D-BD51-FCDC657218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5B5A40-BB7D-406C-ADE9-B76CDFEF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f8126-21e8-4c99-9fac-c443735bdec3"/>
    <ds:schemaRef ds:uri="de3b979c-398f-4fcc-84ba-fbca5a69c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E06F1B-715D-48EF-AD9D-1D7D49018D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Jiang</dc:creator>
  <cp:keywords/>
  <dc:description/>
  <cp:lastModifiedBy>Hannah G Leker</cp:lastModifiedBy>
  <cp:revision>211</cp:revision>
  <dcterms:created xsi:type="dcterms:W3CDTF">2021-06-22T20:56:00Z</dcterms:created>
  <dcterms:modified xsi:type="dcterms:W3CDTF">2021-11-15T21:52:00Z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0x010100266ECAD8AFBF2D4EBE834A89ACAFB218</vt:lpwstr>
  </property>
</Properties>
</file>